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4AB3EDE2"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Pr="00830435">
        <w:rPr>
          <w:rFonts w:cs="Arial"/>
          <w:sz w:val="24"/>
          <w:szCs w:val="24"/>
        </w:rPr>
        <w:t>e</w:t>
      </w:r>
      <w:r w:rsidRPr="00830435">
        <w:rPr>
          <w:rFonts w:cs="Arial"/>
          <w:noProof w:val="0"/>
          <w:sz w:val="24"/>
        </w:rPr>
        <w:tab/>
      </w:r>
      <w:r w:rsidRPr="00830435">
        <w:rPr>
          <w:rFonts w:cs="Arial"/>
          <w:noProof w:val="0"/>
          <w:sz w:val="24"/>
        </w:rPr>
        <w:tab/>
      </w:r>
      <w:r w:rsidR="00040E3F" w:rsidRPr="00040E3F">
        <w:rPr>
          <w:rFonts w:cs="Arial"/>
          <w:noProof w:val="0"/>
          <w:sz w:val="24"/>
        </w:rPr>
        <w:t>R4-2101263</w:t>
      </w:r>
    </w:p>
    <w:p w14:paraId="2EC60C4C" w14:textId="4089FE29"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040E3F">
        <w:rPr>
          <w:rFonts w:cs="Arial"/>
          <w:sz w:val="24"/>
          <w:szCs w:val="24"/>
        </w:rPr>
        <w:t>25</w:t>
      </w:r>
      <w:r w:rsidR="00507E16">
        <w:rPr>
          <w:rFonts w:cs="Arial"/>
          <w:sz w:val="24"/>
          <w:szCs w:val="24"/>
          <w:vertAlign w:val="superscript"/>
        </w:rPr>
        <w:t>th</w:t>
      </w:r>
      <w:r w:rsidR="00AD6EAC" w:rsidRPr="00B41277">
        <w:rPr>
          <w:rFonts w:cs="Arial"/>
          <w:sz w:val="24"/>
          <w:szCs w:val="24"/>
        </w:rPr>
        <w:t xml:space="preserve"> </w:t>
      </w:r>
      <w:r w:rsidR="00040E3F">
        <w:rPr>
          <w:rFonts w:cs="Arial"/>
          <w:sz w:val="24"/>
          <w:szCs w:val="24"/>
        </w:rPr>
        <w:t>January</w:t>
      </w:r>
      <w:r w:rsidRPr="00B41277">
        <w:rPr>
          <w:rFonts w:cs="Arial"/>
          <w:sz w:val="24"/>
          <w:szCs w:val="24"/>
        </w:rPr>
        <w:t xml:space="preserve">– </w:t>
      </w:r>
      <w:r w:rsidR="00040E3F">
        <w:rPr>
          <w:rFonts w:cs="Arial"/>
          <w:sz w:val="24"/>
          <w:szCs w:val="24"/>
        </w:rPr>
        <w:t>5</w:t>
      </w:r>
      <w:r w:rsidRPr="00B41277">
        <w:rPr>
          <w:rFonts w:cs="Arial"/>
          <w:sz w:val="24"/>
          <w:szCs w:val="24"/>
          <w:vertAlign w:val="superscript"/>
        </w:rPr>
        <w:t>th</w:t>
      </w:r>
      <w:r w:rsidRPr="00B41277">
        <w:rPr>
          <w:rFonts w:cs="Arial"/>
          <w:sz w:val="24"/>
          <w:szCs w:val="24"/>
        </w:rPr>
        <w:t xml:space="preserve"> </w:t>
      </w:r>
      <w:r w:rsidR="00040E3F">
        <w:rPr>
          <w:rFonts w:cs="Arial"/>
          <w:sz w:val="24"/>
          <w:szCs w:val="24"/>
        </w:rPr>
        <w:t>February</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1F57435F"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F53D76" w:rsidRPr="00F53D76">
        <w:rPr>
          <w:rFonts w:ascii="Arial" w:hAnsi="Arial" w:cs="Arial"/>
          <w:b/>
          <w:sz w:val="24"/>
        </w:rPr>
        <w:t>7</w:t>
      </w:r>
      <w:r w:rsidR="00606F0B" w:rsidRPr="00F53D76">
        <w:rPr>
          <w:rFonts w:ascii="Arial" w:hAnsi="Arial" w:cs="Arial"/>
          <w:b/>
          <w:sz w:val="24"/>
        </w:rPr>
        <w:t>.</w:t>
      </w:r>
      <w:r w:rsidR="00F53D76" w:rsidRPr="00F53D76">
        <w:rPr>
          <w:rFonts w:ascii="Arial" w:hAnsi="Arial" w:cs="Arial"/>
          <w:b/>
          <w:sz w:val="24"/>
        </w:rPr>
        <w:t>4</w:t>
      </w:r>
      <w:r w:rsidR="00606F0B" w:rsidRPr="00F53D76">
        <w:rPr>
          <w:rFonts w:ascii="Arial" w:hAnsi="Arial" w:cs="Arial"/>
          <w:b/>
          <w:sz w:val="24"/>
        </w:rPr>
        <w:t>.</w:t>
      </w:r>
      <w:r w:rsidR="00F53D76" w:rsidRPr="00F53D76">
        <w:rPr>
          <w:rFonts w:ascii="Arial" w:hAnsi="Arial" w:cs="Arial"/>
          <w:b/>
          <w:sz w:val="24"/>
        </w:rPr>
        <w:t>8.3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2894C048"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507E16">
        <w:rPr>
          <w:rFonts w:ascii="Arial" w:hAnsi="Arial" w:cs="Arial"/>
          <w:b/>
          <w:sz w:val="24"/>
        </w:rPr>
        <w:t>IAB-</w:t>
      </w:r>
      <w:r w:rsidR="007D7D2C">
        <w:rPr>
          <w:rFonts w:ascii="Arial" w:hAnsi="Arial" w:cs="Arial"/>
          <w:b/>
          <w:sz w:val="24"/>
        </w:rPr>
        <w:t>M</w:t>
      </w:r>
      <w:r w:rsidR="00D87436">
        <w:rPr>
          <w:rFonts w:ascii="Arial" w:hAnsi="Arial" w:cs="Arial"/>
          <w:b/>
          <w:sz w:val="24"/>
        </w:rPr>
        <w:t>T</w:t>
      </w:r>
      <w:r w:rsidR="00507E16">
        <w:rPr>
          <w:rFonts w:ascii="Arial" w:hAnsi="Arial" w:cs="Arial"/>
          <w:b/>
          <w:sz w:val="24"/>
        </w:rPr>
        <w:t xml:space="preserve"> demodulation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92F8E70" w14:textId="25770472" w:rsidR="00BF6DFE" w:rsidRPr="00070953" w:rsidRDefault="00BF6DFE" w:rsidP="00BF6DFE">
      <w:r w:rsidRPr="00706462">
        <w:t>In RAN #</w:t>
      </w:r>
      <w:r w:rsidR="00706462" w:rsidRPr="00706462">
        <w:t>97</w:t>
      </w:r>
      <w:r w:rsidRPr="00706462">
        <w:t xml:space="preserve">e meeting </w:t>
      </w:r>
      <w:r w:rsidR="00706462" w:rsidRPr="00706462">
        <w:t>demodulation performance requirements for IAB-</w:t>
      </w:r>
      <w:r w:rsidR="007D7D2C">
        <w:t>M</w:t>
      </w:r>
      <w:r w:rsidR="00D87436">
        <w:rPr>
          <w:lang w:val="en-US"/>
        </w:rPr>
        <w:t>T</w:t>
      </w:r>
      <w:r w:rsidR="00706462" w:rsidRPr="00706462">
        <w:t xml:space="preserve"> were extensively discussed</w:t>
      </w:r>
      <w:r w:rsidR="00706462">
        <w:t xml:space="preserve"> and all agreements and </w:t>
      </w:r>
      <w:r w:rsidR="00CB1EF9">
        <w:t>remaining open issues are captured in</w:t>
      </w:r>
      <w:r w:rsidR="00CB1EF9">
        <w:fldChar w:fldCharType="begin"/>
      </w:r>
      <w:r w:rsidR="00CB1EF9">
        <w:instrText xml:space="preserve"> REF _Hlk21019686 \r \h </w:instrText>
      </w:r>
      <w:r w:rsidR="00CB1EF9">
        <w:fldChar w:fldCharType="separate"/>
      </w:r>
      <w:r w:rsidR="00CB1EF9">
        <w:t>[1]</w:t>
      </w:r>
      <w:r w:rsidR="00CB1EF9">
        <w:fldChar w:fldCharType="end"/>
      </w:r>
      <w:r w:rsidR="00706462" w:rsidRPr="00706462">
        <w:t>.</w:t>
      </w:r>
      <w:r w:rsidRPr="00706462">
        <w:t xml:space="preserve"> </w:t>
      </w:r>
      <w:r w:rsidR="00706462" w:rsidRPr="00706462">
        <w:t>The following general agreements on requirements introduction were made: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8"/>
      </w:tblGrid>
      <w:tr w:rsidR="00BF6DFE" w14:paraId="46E79986" w14:textId="77777777" w:rsidTr="000671A5">
        <w:tc>
          <w:tcPr>
            <w:tcW w:w="8958" w:type="dxa"/>
            <w:shd w:val="clear" w:color="auto" w:fill="auto"/>
          </w:tcPr>
          <w:p w14:paraId="05CC419E" w14:textId="360FDB8E" w:rsidR="00BF6DFE" w:rsidRPr="004656B6" w:rsidRDefault="004656B6" w:rsidP="00CB1EF9">
            <w:pPr>
              <w:numPr>
                <w:ilvl w:val="0"/>
                <w:numId w:val="17"/>
              </w:numPr>
              <w:spacing w:before="0"/>
              <w:ind w:left="420" w:hanging="420"/>
              <w:rPr>
                <w:i/>
                <w:iCs/>
                <w:lang w:eastAsia="zh-CN"/>
              </w:rPr>
            </w:pPr>
            <w:r w:rsidRPr="004656B6">
              <w:rPr>
                <w:i/>
                <w:iCs/>
                <w:lang w:eastAsia="zh-CN"/>
              </w:rPr>
              <w:t>Use Rel-15 UE demodulation requirements as a basis for requirement development.</w:t>
            </w:r>
          </w:p>
          <w:p w14:paraId="031C4F28" w14:textId="2AB64EEE" w:rsidR="00706462" w:rsidRPr="004656B6" w:rsidRDefault="004656B6" w:rsidP="00CB1EF9">
            <w:pPr>
              <w:numPr>
                <w:ilvl w:val="0"/>
                <w:numId w:val="17"/>
              </w:numPr>
              <w:spacing w:before="0"/>
              <w:ind w:left="420" w:hanging="420"/>
              <w:rPr>
                <w:i/>
                <w:iCs/>
                <w:lang w:eastAsia="zh-CN"/>
              </w:rPr>
            </w:pPr>
            <w:r w:rsidRPr="004656B6">
              <w:rPr>
                <w:i/>
                <w:iCs/>
                <w:lang w:eastAsia="zh-CN"/>
              </w:rPr>
              <w:t>Specify requirements for 40MHz for 30kHz, 50MHz for 60kHz, and 100MHz for 120kHz.</w:t>
            </w:r>
            <w:r w:rsidRPr="004656B6">
              <w:rPr>
                <w:i/>
                <w:iCs/>
                <w:lang w:eastAsia="zh-CN"/>
              </w:rPr>
              <w:br/>
              <w:t xml:space="preserve">The applicability rule used in existing BS demodulation requirements for testing of larger bandwidths than the specified one should be reused. I.e., the tests shall be done by using performance requirement for the closest channel bandwidth lower than this widest supported bandwidth; the tested PRBs shall then be centred in this widest supported channel </w:t>
            </w:r>
          </w:p>
          <w:p w14:paraId="1C71A581" w14:textId="6FF24DB1" w:rsidR="00706462" w:rsidRPr="004656B6" w:rsidRDefault="004656B6" w:rsidP="00CB1EF9">
            <w:pPr>
              <w:numPr>
                <w:ilvl w:val="0"/>
                <w:numId w:val="17"/>
              </w:numPr>
              <w:spacing w:before="0"/>
              <w:ind w:left="420" w:hanging="420"/>
              <w:rPr>
                <w:i/>
                <w:iCs/>
                <w:lang w:eastAsia="zh-CN"/>
              </w:rPr>
            </w:pPr>
            <w:r w:rsidRPr="004656B6">
              <w:rPr>
                <w:i/>
                <w:iCs/>
                <w:lang w:eastAsia="zh-CN"/>
              </w:rPr>
              <w:t>General RX demodulation branches</w:t>
            </w:r>
            <w:r w:rsidR="00CB1EF9" w:rsidRPr="004656B6">
              <w:rPr>
                <w:i/>
                <w:iCs/>
                <w:lang w:eastAsia="zh-CN"/>
              </w:rPr>
              <w:t>:</w:t>
            </w:r>
          </w:p>
          <w:p w14:paraId="28E3D177" w14:textId="1CB63163" w:rsidR="004656B6" w:rsidRPr="00BD4FFF" w:rsidRDefault="004656B6" w:rsidP="004656B6">
            <w:pPr>
              <w:pStyle w:val="ListParagraph"/>
              <w:numPr>
                <w:ilvl w:val="1"/>
                <w:numId w:val="17"/>
              </w:numPr>
              <w:spacing w:before="0" w:line="276" w:lineRule="auto"/>
              <w:rPr>
                <w:lang w:eastAsia="zh-CN"/>
              </w:rPr>
            </w:pPr>
            <w:r w:rsidRPr="004656B6">
              <w:rPr>
                <w:rFonts w:ascii="Times New Roman" w:eastAsia="SimSun" w:hAnsi="Times New Roman"/>
                <w:i/>
                <w:iCs/>
                <w:sz w:val="20"/>
                <w:szCs w:val="20"/>
                <w:lang w:eastAsia="zh-CN"/>
              </w:rPr>
              <w:t>4Rx for conducted test only and 2Rx for radiated test only for FR1 and 2RX for FR2</w:t>
            </w:r>
          </w:p>
        </w:tc>
      </w:tr>
    </w:tbl>
    <w:p w14:paraId="1B01EDCB" w14:textId="6B599595" w:rsidR="00CB1EF9" w:rsidRPr="00CB1EF9" w:rsidRDefault="00CB1EF9" w:rsidP="00BF6DFE">
      <w:r w:rsidRPr="00CB1EF9">
        <w:t xml:space="preserve">In this paper we provide our view on </w:t>
      </w:r>
      <w:r w:rsidR="001331BE">
        <w:rPr>
          <w:lang w:val="en-US"/>
        </w:rPr>
        <w:t xml:space="preserve">reusing of Rel-15 </w:t>
      </w:r>
      <w:r w:rsidR="007D7D2C">
        <w:t>UE</w:t>
      </w:r>
      <w:r w:rsidRPr="00CB1EF9">
        <w:t xml:space="preserve"> requirements for IAB-</w:t>
      </w:r>
      <w:r w:rsidR="007D7D2C">
        <w:t>MT</w:t>
      </w:r>
      <w:r w:rsidRPr="00CB1EF9">
        <w:t xml:space="preserve"> and address applicability rule structure considering typical </w:t>
      </w:r>
      <w:r w:rsidR="007D7D2C">
        <w:t>propagation conditions for backhaul links</w:t>
      </w:r>
      <w:r w:rsidRPr="00CB1EF9">
        <w:t xml:space="preserve">. </w:t>
      </w:r>
    </w:p>
    <w:p w14:paraId="5FB0E992" w14:textId="77777777" w:rsidR="00CF667C" w:rsidRPr="00146B4F" w:rsidRDefault="00CF667C" w:rsidP="00CF667C">
      <w:pPr>
        <w:pStyle w:val="Heading1"/>
      </w:pPr>
      <w:r>
        <w:t>Discussion</w:t>
      </w:r>
    </w:p>
    <w:p w14:paraId="606FDEDC" w14:textId="5E1BF25F" w:rsidR="00272DC6" w:rsidRPr="001331BE" w:rsidRDefault="00EA4DE4" w:rsidP="001331BE">
      <w:pPr>
        <w:pStyle w:val="Heading2"/>
        <w:ind w:left="567"/>
      </w:pPr>
      <w:r>
        <w:t>P</w:t>
      </w:r>
      <w:r w:rsidR="007D7D2C">
        <w:t>DSCH</w:t>
      </w:r>
    </w:p>
    <w:p w14:paraId="00787578" w14:textId="6DA153E2" w:rsidR="00EA4DE4" w:rsidRDefault="007D7D2C" w:rsidP="00EA4DE4">
      <w:pPr>
        <w:widowControl w:val="0"/>
        <w:rPr>
          <w:b/>
          <w:bCs/>
          <w:u w:val="single"/>
        </w:rPr>
      </w:pPr>
      <w:r>
        <w:rPr>
          <w:b/>
          <w:bCs/>
          <w:u w:val="single"/>
        </w:rPr>
        <w:t>MCS</w:t>
      </w:r>
    </w:p>
    <w:tbl>
      <w:tblPr>
        <w:tblStyle w:val="TableGrid"/>
        <w:tblW w:w="0" w:type="auto"/>
        <w:tblLook w:val="04A0" w:firstRow="1" w:lastRow="0" w:firstColumn="1" w:lastColumn="0" w:noHBand="0" w:noVBand="1"/>
      </w:tblPr>
      <w:tblGrid>
        <w:gridCol w:w="9629"/>
      </w:tblGrid>
      <w:tr w:rsidR="00D87436" w14:paraId="36A0916B" w14:textId="77777777" w:rsidTr="00D87436">
        <w:tc>
          <w:tcPr>
            <w:tcW w:w="9629" w:type="dxa"/>
          </w:tcPr>
          <w:p w14:paraId="28FD862A" w14:textId="04A9F65B" w:rsidR="00D87436" w:rsidRPr="00D87436" w:rsidRDefault="00D87436" w:rsidP="00D87436">
            <w:pPr>
              <w:pStyle w:val="ListParagraph"/>
              <w:widowControl w:val="0"/>
              <w:numPr>
                <w:ilvl w:val="0"/>
                <w:numId w:val="23"/>
              </w:numPr>
              <w:rPr>
                <w:rFonts w:ascii="Times New Roman" w:hAnsi="Times New Roman"/>
                <w:i/>
                <w:iCs/>
                <w:sz w:val="20"/>
                <w:szCs w:val="20"/>
              </w:rPr>
            </w:pPr>
            <w:r w:rsidRPr="00D87436">
              <w:rPr>
                <w:rFonts w:ascii="Times New Roman" w:hAnsi="Times New Roman"/>
                <w:i/>
                <w:iCs/>
                <w:sz w:val="20"/>
                <w:szCs w:val="20"/>
              </w:rPr>
              <w:t>MCS</w:t>
            </w:r>
            <w:r>
              <w:rPr>
                <w:rFonts w:ascii="Times New Roman" w:hAnsi="Times New Roman"/>
                <w:i/>
                <w:iCs/>
                <w:sz w:val="20"/>
                <w:szCs w:val="20"/>
              </w:rPr>
              <w:t>:</w:t>
            </w:r>
          </w:p>
          <w:p w14:paraId="2110C35D" w14:textId="075CB3CA" w:rsidR="00D87436" w:rsidRPr="00D87436" w:rsidRDefault="00D87436" w:rsidP="00D87436">
            <w:pPr>
              <w:pStyle w:val="ListParagraph"/>
              <w:widowControl w:val="0"/>
              <w:numPr>
                <w:ilvl w:val="1"/>
                <w:numId w:val="23"/>
              </w:numPr>
              <w:rPr>
                <w:rFonts w:ascii="Times New Roman" w:hAnsi="Times New Roman"/>
                <w:i/>
                <w:iCs/>
                <w:sz w:val="20"/>
                <w:szCs w:val="20"/>
              </w:rPr>
            </w:pPr>
            <w:r w:rsidRPr="00D87436">
              <w:rPr>
                <w:rFonts w:ascii="Times New Roman" w:hAnsi="Times New Roman"/>
                <w:i/>
                <w:iCs/>
                <w:sz w:val="20"/>
                <w:szCs w:val="20"/>
              </w:rPr>
              <w:t>QPSK shall not be tested</w:t>
            </w:r>
          </w:p>
          <w:p w14:paraId="1B2392EA" w14:textId="77777777" w:rsidR="00D87436" w:rsidRPr="00D87436" w:rsidRDefault="00D87436" w:rsidP="00D87436">
            <w:pPr>
              <w:pStyle w:val="ListParagraph"/>
              <w:widowControl w:val="0"/>
              <w:numPr>
                <w:ilvl w:val="1"/>
                <w:numId w:val="23"/>
              </w:numPr>
              <w:rPr>
                <w:rFonts w:ascii="Times New Roman" w:hAnsi="Times New Roman"/>
                <w:i/>
                <w:iCs/>
                <w:sz w:val="20"/>
                <w:szCs w:val="20"/>
              </w:rPr>
            </w:pPr>
            <w:r w:rsidRPr="00D87436">
              <w:rPr>
                <w:rFonts w:ascii="Times New Roman" w:hAnsi="Times New Roman"/>
                <w:i/>
                <w:iCs/>
                <w:sz w:val="20"/>
                <w:szCs w:val="20"/>
              </w:rPr>
              <w:t>64QAM shall be tested</w:t>
            </w:r>
          </w:p>
          <w:p w14:paraId="3EC7E377" w14:textId="77777777" w:rsidR="00D87436" w:rsidRPr="00D87436" w:rsidRDefault="00D87436" w:rsidP="00D87436">
            <w:pPr>
              <w:pStyle w:val="ListParagraph"/>
              <w:widowControl w:val="0"/>
              <w:numPr>
                <w:ilvl w:val="1"/>
                <w:numId w:val="23"/>
              </w:numPr>
              <w:rPr>
                <w:rFonts w:ascii="Times New Roman" w:hAnsi="Times New Roman"/>
                <w:i/>
                <w:iCs/>
                <w:sz w:val="20"/>
                <w:szCs w:val="20"/>
              </w:rPr>
            </w:pPr>
            <w:r w:rsidRPr="00D87436">
              <w:rPr>
                <w:rFonts w:ascii="Times New Roman" w:hAnsi="Times New Roman"/>
                <w:i/>
                <w:iCs/>
                <w:sz w:val="20"/>
                <w:szCs w:val="20"/>
              </w:rPr>
              <w:t>16 QAM</w:t>
            </w:r>
          </w:p>
          <w:p w14:paraId="156E1883" w14:textId="77777777" w:rsidR="00D87436" w:rsidRPr="00D87436" w:rsidRDefault="00D87436" w:rsidP="00D87436">
            <w:pPr>
              <w:pStyle w:val="ListParagraph"/>
              <w:widowControl w:val="0"/>
              <w:numPr>
                <w:ilvl w:val="2"/>
                <w:numId w:val="23"/>
              </w:numPr>
              <w:rPr>
                <w:rFonts w:ascii="Times New Roman" w:hAnsi="Times New Roman"/>
                <w:i/>
                <w:iCs/>
                <w:sz w:val="20"/>
                <w:szCs w:val="20"/>
              </w:rPr>
            </w:pPr>
            <w:r w:rsidRPr="00D87436">
              <w:rPr>
                <w:rFonts w:ascii="Times New Roman" w:hAnsi="Times New Roman"/>
                <w:i/>
                <w:iCs/>
                <w:sz w:val="20"/>
                <w:szCs w:val="20"/>
              </w:rPr>
              <w:t>Option 1: 16QAM shall be tested.</w:t>
            </w:r>
          </w:p>
          <w:p w14:paraId="3AC51AC3" w14:textId="3BAF099F" w:rsidR="00D87436" w:rsidRPr="00D87436" w:rsidRDefault="00D87436" w:rsidP="00D87436">
            <w:pPr>
              <w:pStyle w:val="ListParagraph"/>
              <w:widowControl w:val="0"/>
              <w:numPr>
                <w:ilvl w:val="2"/>
                <w:numId w:val="23"/>
              </w:numPr>
              <w:rPr>
                <w:b/>
                <w:bCs/>
                <w:u w:val="single"/>
              </w:rPr>
            </w:pPr>
            <w:r w:rsidRPr="00D87436">
              <w:rPr>
                <w:rFonts w:ascii="Times New Roman" w:hAnsi="Times New Roman"/>
                <w:i/>
                <w:iCs/>
                <w:sz w:val="20"/>
                <w:szCs w:val="20"/>
              </w:rPr>
              <w:t>Option 2: 16QAM shall not be tested.</w:t>
            </w:r>
          </w:p>
        </w:tc>
      </w:tr>
    </w:tbl>
    <w:p w14:paraId="0F3A545C" w14:textId="532000C4" w:rsidR="0045228A" w:rsidRDefault="00D87436" w:rsidP="00EA4DE4">
      <w:pPr>
        <w:widowControl w:val="0"/>
      </w:pPr>
      <w:r w:rsidRPr="00780568">
        <w:t xml:space="preserve">For backhaul link a quite stable LoS connection with </w:t>
      </w:r>
      <w:r w:rsidR="00040E3F">
        <w:t xml:space="preserve">a </w:t>
      </w:r>
      <w:r w:rsidRPr="00780568">
        <w:t>good SNR conditions can be assumed. In this case</w:t>
      </w:r>
      <w:r w:rsidR="00B949F6" w:rsidRPr="00780568">
        <w:t>,</w:t>
      </w:r>
      <w:r w:rsidRPr="00780568">
        <w:t xml:space="preserve"> test case with low order modulation can be ignored for IAB-MT. </w:t>
      </w:r>
      <w:r w:rsidR="007E1F78">
        <w:t>As for 16QAM, r</w:t>
      </w:r>
      <w:r w:rsidR="0045228A">
        <w:t xml:space="preserve">ank 3 and rank 4 </w:t>
      </w:r>
      <w:r w:rsidR="007E1F78">
        <w:t xml:space="preserve">UE PDSCH </w:t>
      </w:r>
      <w:r w:rsidR="0045228A">
        <w:t>test cases were defined with 16QAM. Such configuration corresponds to quite high throughput which is very important for backhaul links. In this case it is not reasonable to ignore these test cases.</w:t>
      </w:r>
    </w:p>
    <w:p w14:paraId="3FF4F40A" w14:textId="2A8D2D71" w:rsidR="00DF0DD2" w:rsidRPr="00DF0DD2" w:rsidRDefault="00DF0DD2" w:rsidP="00DF0DD2">
      <w:pPr>
        <w:pStyle w:val="Proposal1"/>
      </w:pPr>
      <w:r w:rsidRPr="001F63CF">
        <w:t xml:space="preserve">Proposal #1: </w:t>
      </w:r>
      <w:r w:rsidRPr="001F63CF">
        <w:tab/>
      </w:r>
      <w:r>
        <w:t>16QAM shall be tested for IAB-MT.</w:t>
      </w:r>
    </w:p>
    <w:p w14:paraId="02585A73" w14:textId="594615A5" w:rsidR="002A372C" w:rsidRPr="00DF0DD2" w:rsidRDefault="00DF0DD2" w:rsidP="00EA4DE4">
      <w:pPr>
        <w:widowControl w:val="0"/>
        <w:rPr>
          <w:lang w:val="en-US"/>
        </w:rPr>
      </w:pPr>
      <w:r>
        <w:rPr>
          <w:lang w:val="en-US"/>
        </w:rPr>
        <w:t xml:space="preserve">A specific test case for 256QAM was defined for FR1 in Rel-15. For FR2 256QAM performance requirements are discussed in Rel-16 timeframe. From IAB backhaul point of view, support of 256QAM is an </w:t>
      </w:r>
      <w:r w:rsidR="002834CC">
        <w:rPr>
          <w:lang w:val="en-US"/>
        </w:rPr>
        <w:t xml:space="preserve">optional </w:t>
      </w:r>
      <w:r w:rsidR="00D73B53">
        <w:rPr>
          <w:lang w:val="en-US"/>
        </w:rPr>
        <w:t xml:space="preserve">feature </w:t>
      </w:r>
      <w:r w:rsidR="002834CC">
        <w:rPr>
          <w:lang w:val="en-US"/>
        </w:rPr>
        <w:t xml:space="preserve">but very </w:t>
      </w:r>
      <w:r>
        <w:rPr>
          <w:lang w:val="en-US"/>
        </w:rPr>
        <w:t xml:space="preserve">important </w:t>
      </w:r>
      <w:r w:rsidR="002834CC">
        <w:rPr>
          <w:lang w:val="en-US"/>
        </w:rPr>
        <w:t>especially for backhaul link</w:t>
      </w:r>
      <w:r>
        <w:rPr>
          <w:lang w:val="en-US"/>
        </w:rPr>
        <w:t>. In this case we propose to reuse Rel-15 UE FR1 corresponding requirement</w:t>
      </w:r>
      <w:r w:rsidR="00040E3F">
        <w:rPr>
          <w:lang w:val="en-US"/>
        </w:rPr>
        <w:t>s</w:t>
      </w:r>
      <w:r>
        <w:rPr>
          <w:lang w:val="en-US"/>
        </w:rPr>
        <w:t xml:space="preserve"> and further discuss 2</w:t>
      </w:r>
      <w:r w:rsidR="003A6153">
        <w:rPr>
          <w:lang w:val="en-US"/>
        </w:rPr>
        <w:t>5</w:t>
      </w:r>
      <w:r>
        <w:rPr>
          <w:lang w:val="en-US"/>
        </w:rPr>
        <w:t xml:space="preserve">6QAM requirements for FR2 after completion of Rel-16 UE FR2 256QAM requirements introduction. </w:t>
      </w:r>
    </w:p>
    <w:p w14:paraId="4DBD26FD" w14:textId="26031E3E" w:rsidR="0045228A" w:rsidRPr="00040E3F" w:rsidRDefault="00DF0DD2" w:rsidP="00040E3F">
      <w:pPr>
        <w:pStyle w:val="Proposal1"/>
      </w:pPr>
      <w:bookmarkStart w:id="2" w:name="_Hlk61264595"/>
      <w:r w:rsidRPr="002834CC">
        <w:t xml:space="preserve">Proposal #2: </w:t>
      </w:r>
      <w:r w:rsidRPr="002834CC">
        <w:tab/>
      </w:r>
      <w:r w:rsidR="002834CC" w:rsidRPr="002834CC">
        <w:t xml:space="preserve">Reuse UE FR1 </w:t>
      </w:r>
      <w:r w:rsidRPr="002834CC">
        <w:t xml:space="preserve">256QAM </w:t>
      </w:r>
      <w:r w:rsidR="002834CC" w:rsidRPr="002834CC">
        <w:t xml:space="preserve">performance requirements </w:t>
      </w:r>
      <w:r w:rsidRPr="002834CC">
        <w:t xml:space="preserve">for IAB-MT. Further discuss 256QAM requirements for FR2 after completion of Rel-16 UE FR2 256QAM requirements </w:t>
      </w:r>
      <w:bookmarkEnd w:id="2"/>
      <w:r w:rsidR="002834CC" w:rsidRPr="002834CC">
        <w:t>definition</w:t>
      </w:r>
      <w:r w:rsidR="00D64B35" w:rsidRPr="002834CC">
        <w:t>.</w:t>
      </w:r>
    </w:p>
    <w:p w14:paraId="7C72E60A" w14:textId="7DB461B9" w:rsidR="00A64291" w:rsidRDefault="00A64291" w:rsidP="00A64291">
      <w:pPr>
        <w:widowControl w:val="0"/>
        <w:rPr>
          <w:b/>
          <w:bCs/>
          <w:u w:val="single"/>
        </w:rPr>
      </w:pPr>
      <w:r>
        <w:rPr>
          <w:b/>
          <w:bCs/>
          <w:u w:val="single"/>
        </w:rPr>
        <w:lastRenderedPageBreak/>
        <w:t>Mapping type</w:t>
      </w:r>
    </w:p>
    <w:tbl>
      <w:tblPr>
        <w:tblStyle w:val="TableGrid"/>
        <w:tblW w:w="0" w:type="auto"/>
        <w:tblLook w:val="04A0" w:firstRow="1" w:lastRow="0" w:firstColumn="1" w:lastColumn="0" w:noHBand="0" w:noVBand="1"/>
      </w:tblPr>
      <w:tblGrid>
        <w:gridCol w:w="9629"/>
      </w:tblGrid>
      <w:tr w:rsidR="004656B6" w14:paraId="716401FE" w14:textId="77777777" w:rsidTr="00DF0DD2">
        <w:tc>
          <w:tcPr>
            <w:tcW w:w="9629" w:type="dxa"/>
          </w:tcPr>
          <w:p w14:paraId="34769F80" w14:textId="173BF2AB" w:rsidR="004656B6" w:rsidRPr="00D87436" w:rsidRDefault="004656B6" w:rsidP="00DF0DD2">
            <w:pPr>
              <w:pStyle w:val="ListParagraph"/>
              <w:widowControl w:val="0"/>
              <w:numPr>
                <w:ilvl w:val="0"/>
                <w:numId w:val="23"/>
              </w:numPr>
              <w:rPr>
                <w:rFonts w:ascii="Times New Roman" w:hAnsi="Times New Roman"/>
                <w:i/>
                <w:iCs/>
                <w:sz w:val="20"/>
                <w:szCs w:val="20"/>
              </w:rPr>
            </w:pPr>
            <w:r w:rsidRPr="00D87436">
              <w:rPr>
                <w:rFonts w:ascii="Times New Roman" w:hAnsi="Times New Roman"/>
                <w:i/>
                <w:iCs/>
                <w:sz w:val="20"/>
                <w:szCs w:val="20"/>
              </w:rPr>
              <w:t>M</w:t>
            </w:r>
            <w:r>
              <w:rPr>
                <w:rFonts w:ascii="Times New Roman" w:hAnsi="Times New Roman"/>
                <w:i/>
                <w:iCs/>
                <w:sz w:val="20"/>
                <w:szCs w:val="20"/>
              </w:rPr>
              <w:t>apping type:</w:t>
            </w:r>
          </w:p>
          <w:p w14:paraId="2B54411D"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1: Only keep PDSCH performance requirements for mapping Type-A</w:t>
            </w:r>
          </w:p>
          <w:p w14:paraId="3CE67D5C" w14:textId="0DEFA154"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eastAsia="SimSun" w:hAnsi="Times New Roman"/>
                <w:i/>
                <w:iCs/>
                <w:sz w:val="20"/>
                <w:szCs w:val="20"/>
                <w:lang w:val="en-GB"/>
              </w:rPr>
              <w:t>Option 2: Include requirements for mapping type A and B. Use applicability rule to reduce testing load</w:t>
            </w:r>
          </w:p>
        </w:tc>
      </w:tr>
    </w:tbl>
    <w:p w14:paraId="0C15E0D5" w14:textId="2647B871" w:rsidR="00604759" w:rsidRDefault="00780568" w:rsidP="00A64291">
      <w:pPr>
        <w:widowControl w:val="0"/>
      </w:pPr>
      <w:r>
        <w:t xml:space="preserve">There is only one test case for mapping type B with </w:t>
      </w:r>
      <w:r w:rsidR="00040E3F">
        <w:t>reduced</w:t>
      </w:r>
      <w:r>
        <w:t xml:space="preserve"> PDSCH allocation which is not typical for backhaul links. Same time from functional verification it is beneficial to have test case to verify proper operation for mapping type B</w:t>
      </w:r>
      <w:r w:rsidR="006F2F50">
        <w:t xml:space="preserve"> since IAB-MT can operate with different parents which </w:t>
      </w:r>
      <w:r w:rsidR="00040E3F">
        <w:t xml:space="preserve">might </w:t>
      </w:r>
      <w:r w:rsidR="006F2F50">
        <w:t>use different configurations</w:t>
      </w:r>
      <w:r>
        <w:t>.</w:t>
      </w:r>
      <w:r w:rsidR="006F2F50">
        <w:t xml:space="preserve"> </w:t>
      </w:r>
      <w:r w:rsidR="00C9454F">
        <w:t xml:space="preserve">It should be one exception for test cases with QPSK. </w:t>
      </w:r>
      <w:r w:rsidR="006F2F50">
        <w:t>As for applicability rule, since there is only one test case and we do not see any preferences on mapping type from IAB node perspective we suggest hav</w:t>
      </w:r>
      <w:r w:rsidR="00D64B35">
        <w:t>ing</w:t>
      </w:r>
      <w:r w:rsidR="006F2F50">
        <w:t xml:space="preserve"> such test case as mandatory test case for IAB-MT.</w:t>
      </w:r>
    </w:p>
    <w:p w14:paraId="3798264D" w14:textId="4629061E" w:rsidR="00D64B35" w:rsidRDefault="00D64B35" w:rsidP="00D64B35">
      <w:pPr>
        <w:pStyle w:val="Proposal1"/>
      </w:pPr>
      <w:r w:rsidRPr="001F63CF">
        <w:t>Proposal #</w:t>
      </w:r>
      <w:r>
        <w:t>3</w:t>
      </w:r>
      <w:r w:rsidRPr="001F63CF">
        <w:t xml:space="preserve"> </w:t>
      </w:r>
      <w:r w:rsidRPr="001F63CF">
        <w:tab/>
      </w:r>
      <w:r w:rsidRPr="00D64B35">
        <w:t>Include requirements for mapping type A and B</w:t>
      </w:r>
      <w:r>
        <w:t xml:space="preserve"> without applicability rules.</w:t>
      </w:r>
    </w:p>
    <w:p w14:paraId="2EDC74C2" w14:textId="77777777" w:rsidR="00D64B35" w:rsidRDefault="00D64B35" w:rsidP="00D64B35">
      <w:pPr>
        <w:pStyle w:val="Proposal1"/>
      </w:pPr>
    </w:p>
    <w:p w14:paraId="52756364" w14:textId="44F62CC5" w:rsidR="00A64291" w:rsidRDefault="00A64291" w:rsidP="00EA4DE4">
      <w:pPr>
        <w:widowControl w:val="0"/>
        <w:rPr>
          <w:b/>
          <w:bCs/>
          <w:u w:val="single"/>
        </w:rPr>
      </w:pPr>
      <w:r>
        <w:rPr>
          <w:b/>
          <w:bCs/>
          <w:u w:val="single"/>
        </w:rPr>
        <w:t>PRB bundling size</w:t>
      </w:r>
    </w:p>
    <w:tbl>
      <w:tblPr>
        <w:tblStyle w:val="TableGrid"/>
        <w:tblW w:w="0" w:type="auto"/>
        <w:tblLook w:val="04A0" w:firstRow="1" w:lastRow="0" w:firstColumn="1" w:lastColumn="0" w:noHBand="0" w:noVBand="1"/>
      </w:tblPr>
      <w:tblGrid>
        <w:gridCol w:w="9629"/>
      </w:tblGrid>
      <w:tr w:rsidR="004656B6" w14:paraId="03B76A75" w14:textId="77777777" w:rsidTr="00DF0DD2">
        <w:tc>
          <w:tcPr>
            <w:tcW w:w="9629" w:type="dxa"/>
          </w:tcPr>
          <w:p w14:paraId="50F157BE" w14:textId="238CD67A" w:rsidR="004656B6" w:rsidRPr="00D87436" w:rsidRDefault="004656B6" w:rsidP="00DF0DD2">
            <w:pPr>
              <w:pStyle w:val="ListParagraph"/>
              <w:widowControl w:val="0"/>
              <w:numPr>
                <w:ilvl w:val="0"/>
                <w:numId w:val="23"/>
              </w:numPr>
              <w:rPr>
                <w:rFonts w:ascii="Times New Roman" w:hAnsi="Times New Roman"/>
                <w:i/>
                <w:iCs/>
                <w:sz w:val="20"/>
                <w:szCs w:val="20"/>
              </w:rPr>
            </w:pPr>
            <w:r>
              <w:rPr>
                <w:rFonts w:ascii="Times New Roman" w:hAnsi="Times New Roman"/>
                <w:i/>
                <w:iCs/>
                <w:sz w:val="20"/>
                <w:szCs w:val="20"/>
              </w:rPr>
              <w:t>PRB bundling size:</w:t>
            </w:r>
          </w:p>
          <w:p w14:paraId="3E0C94DB" w14:textId="7C3A1D6F" w:rsidR="004656B6" w:rsidRPr="004656B6" w:rsidRDefault="004656B6" w:rsidP="00DF0DD2">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Only keep requirements with PRB bundling size 2</w:t>
            </w:r>
          </w:p>
        </w:tc>
      </w:tr>
    </w:tbl>
    <w:p w14:paraId="00FB8564" w14:textId="527D2F96" w:rsidR="002A372C" w:rsidRPr="00780568" w:rsidRDefault="0045228A" w:rsidP="00EA4DE4">
      <w:pPr>
        <w:widowControl w:val="0"/>
        <w:rPr>
          <w:lang w:val="en-US"/>
        </w:rPr>
      </w:pPr>
      <w:r>
        <w:t xml:space="preserve">It was already agreed to keep requirements only with PRB bundling size 2. Test cases with PRB bundling size 4 correspond to QPSK </w:t>
      </w:r>
      <w:r w:rsidR="00780568">
        <w:t xml:space="preserve">Rank 1 TDLB100-400 test cases which is not typical scenario for backhaul link. Same time there is a one test case with wideband precoding: 16QAM Rank 3 TDLA30-10. High MIMO layer configuration is a typical scenario for IAB </w:t>
      </w:r>
      <w:r w:rsidR="00780568">
        <w:rPr>
          <w:lang w:val="en-US"/>
        </w:rPr>
        <w:t>hence it is beneficial to reuse such test case.</w:t>
      </w:r>
    </w:p>
    <w:p w14:paraId="1624B08D" w14:textId="53EA7170" w:rsidR="00EC4AE0" w:rsidRDefault="00EC4AE0" w:rsidP="00EC4AE0">
      <w:pPr>
        <w:pStyle w:val="Proposal1"/>
      </w:pPr>
      <w:r w:rsidRPr="001F63CF">
        <w:t>Proposal #</w:t>
      </w:r>
      <w:r w:rsidR="00D64B35">
        <w:t>4</w:t>
      </w:r>
      <w:r w:rsidRPr="001F63CF">
        <w:t xml:space="preserve">: </w:t>
      </w:r>
      <w:r w:rsidRPr="001F63CF">
        <w:tab/>
      </w:r>
      <w:r w:rsidR="00780568">
        <w:t>Only keep requirements with wideband PRB bundling size and PRB bundling size 2.</w:t>
      </w:r>
    </w:p>
    <w:p w14:paraId="186693C5" w14:textId="50CA06A0" w:rsidR="00EA4DE4" w:rsidRDefault="00EA4DE4" w:rsidP="00EA4DE4"/>
    <w:p w14:paraId="7E2EFFA8" w14:textId="4948E201" w:rsidR="00EA4DE4" w:rsidRDefault="007D7D2C" w:rsidP="00EA4DE4">
      <w:pPr>
        <w:widowControl w:val="0"/>
        <w:rPr>
          <w:b/>
          <w:bCs/>
          <w:u w:val="single"/>
        </w:rPr>
      </w:pPr>
      <w:r>
        <w:rPr>
          <w:b/>
          <w:bCs/>
          <w:u w:val="single"/>
        </w:rPr>
        <w:t>Enhanced receiver</w:t>
      </w:r>
    </w:p>
    <w:tbl>
      <w:tblPr>
        <w:tblStyle w:val="TableGrid"/>
        <w:tblW w:w="0" w:type="auto"/>
        <w:tblLook w:val="04A0" w:firstRow="1" w:lastRow="0" w:firstColumn="1" w:lastColumn="0" w:noHBand="0" w:noVBand="1"/>
      </w:tblPr>
      <w:tblGrid>
        <w:gridCol w:w="9629"/>
      </w:tblGrid>
      <w:tr w:rsidR="004656B6" w14:paraId="1A0F3410" w14:textId="77777777" w:rsidTr="00DF0DD2">
        <w:tc>
          <w:tcPr>
            <w:tcW w:w="9629" w:type="dxa"/>
          </w:tcPr>
          <w:p w14:paraId="658EB8AC" w14:textId="10FBEC12" w:rsidR="004656B6" w:rsidRPr="00D87436" w:rsidRDefault="004656B6" w:rsidP="00DF0DD2">
            <w:pPr>
              <w:pStyle w:val="ListParagraph"/>
              <w:widowControl w:val="0"/>
              <w:numPr>
                <w:ilvl w:val="0"/>
                <w:numId w:val="23"/>
              </w:numPr>
              <w:rPr>
                <w:rFonts w:ascii="Times New Roman" w:hAnsi="Times New Roman"/>
                <w:i/>
                <w:iCs/>
                <w:sz w:val="20"/>
                <w:szCs w:val="20"/>
              </w:rPr>
            </w:pPr>
            <w:r>
              <w:rPr>
                <w:rFonts w:ascii="Times New Roman" w:hAnsi="Times New Roman"/>
                <w:i/>
                <w:iCs/>
                <w:sz w:val="20"/>
                <w:szCs w:val="20"/>
              </w:rPr>
              <w:t>Enhanced receiver:</w:t>
            </w:r>
          </w:p>
          <w:p w14:paraId="7CAF0661"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1: Skip PDSCH cases for enhanced receiver Type 1.</w:t>
            </w:r>
          </w:p>
          <w:p w14:paraId="2F4F8E34" w14:textId="6194B9E9"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eastAsia="SimSun" w:hAnsi="Times New Roman"/>
                <w:i/>
                <w:iCs/>
                <w:sz w:val="20"/>
                <w:szCs w:val="20"/>
                <w:lang w:val="en-GB"/>
              </w:rPr>
              <w:t>Option 2: Include requirements for enhanced receiver Type 1 but allow to declare support</w:t>
            </w:r>
          </w:p>
        </w:tc>
      </w:tr>
    </w:tbl>
    <w:p w14:paraId="0C130E71" w14:textId="27454FA9" w:rsidR="004656B6" w:rsidRPr="00B949F6" w:rsidRDefault="00B949F6" w:rsidP="00EA4DE4">
      <w:pPr>
        <w:widowControl w:val="0"/>
      </w:pPr>
      <w:r w:rsidRPr="00B949F6">
        <w:t>Supp</w:t>
      </w:r>
      <w:r>
        <w:t>orting of enhanced receiver (RML) is an optional UE feature. We should not mandate to IAB node to support it</w:t>
      </w:r>
      <w:r w:rsidR="00040E3F">
        <w:t xml:space="preserve"> also</w:t>
      </w:r>
      <w:r>
        <w:t>. Same time this feature brings performance benefits for high MIMO layers Tx comparing to baseline processing. Considering high load of backhaul link</w:t>
      </w:r>
      <w:r w:rsidR="00823088">
        <w:t>s there is a chance that some IAB-MT implementations will support such feature from Rel-16. From requirements definition point of view there are no additional efforts to define them and we can just reuse existing UE requirements. Otherwise, if we define such requirements later, we cannot guarantee that there will be no wrong enhanced receiver implementations on market in Rel-16. Therefore, we suggest reusing of such requirements. Corresponding declaration should be defined to not mandate enhanced receiver implementation.</w:t>
      </w:r>
    </w:p>
    <w:p w14:paraId="67F1E472" w14:textId="0469705E" w:rsidR="00DE2BA4" w:rsidRDefault="00DE2BA4" w:rsidP="00DE2BA4">
      <w:pPr>
        <w:pStyle w:val="Proposal1"/>
      </w:pPr>
      <w:r w:rsidRPr="001F63CF">
        <w:t>Proposal #</w:t>
      </w:r>
      <w:r w:rsidR="00D64B35">
        <w:t>5</w:t>
      </w:r>
      <w:r w:rsidRPr="001F63CF">
        <w:t xml:space="preserve">: </w:t>
      </w:r>
      <w:r w:rsidRPr="001F63CF">
        <w:tab/>
      </w:r>
      <w:r w:rsidR="00823088" w:rsidRPr="00823088">
        <w:t>Include requirements for enhanced receiver Type 1 but allow to declare support</w:t>
      </w:r>
      <w:r w:rsidR="00823088">
        <w:t xml:space="preserve"> of it</w:t>
      </w:r>
      <w:r>
        <w:t>.</w:t>
      </w:r>
    </w:p>
    <w:p w14:paraId="6B0CEE9E" w14:textId="6A2B0C5F" w:rsidR="00FB23E1" w:rsidRDefault="00FB23E1" w:rsidP="00EA4DE4">
      <w:pPr>
        <w:widowControl w:val="0"/>
      </w:pPr>
    </w:p>
    <w:p w14:paraId="716D0393" w14:textId="21AD1775" w:rsidR="00EA4DE4" w:rsidRDefault="007D7D2C" w:rsidP="00EA4DE4">
      <w:pPr>
        <w:rPr>
          <w:b/>
          <w:bCs/>
          <w:u w:val="single"/>
        </w:rPr>
      </w:pPr>
      <w:r>
        <w:rPr>
          <w:b/>
          <w:bCs/>
          <w:u w:val="single"/>
        </w:rPr>
        <w:t>Overlapped CSI-RS</w:t>
      </w:r>
    </w:p>
    <w:tbl>
      <w:tblPr>
        <w:tblStyle w:val="TableGrid"/>
        <w:tblW w:w="0" w:type="auto"/>
        <w:tblLook w:val="04A0" w:firstRow="1" w:lastRow="0" w:firstColumn="1" w:lastColumn="0" w:noHBand="0" w:noVBand="1"/>
      </w:tblPr>
      <w:tblGrid>
        <w:gridCol w:w="9629"/>
      </w:tblGrid>
      <w:tr w:rsidR="004656B6" w14:paraId="5ED2652E" w14:textId="77777777" w:rsidTr="00DF0DD2">
        <w:tc>
          <w:tcPr>
            <w:tcW w:w="9629" w:type="dxa"/>
          </w:tcPr>
          <w:p w14:paraId="5F975A8A" w14:textId="72AB005D" w:rsidR="004656B6" w:rsidRPr="00D87436" w:rsidRDefault="004656B6" w:rsidP="00DF0DD2">
            <w:pPr>
              <w:pStyle w:val="ListParagraph"/>
              <w:widowControl w:val="0"/>
              <w:numPr>
                <w:ilvl w:val="0"/>
                <w:numId w:val="23"/>
              </w:numPr>
              <w:rPr>
                <w:rFonts w:ascii="Times New Roman" w:hAnsi="Times New Roman"/>
                <w:i/>
                <w:iCs/>
                <w:sz w:val="20"/>
                <w:szCs w:val="20"/>
              </w:rPr>
            </w:pPr>
            <w:r w:rsidRPr="004656B6">
              <w:rPr>
                <w:rFonts w:ascii="Times New Roman" w:hAnsi="Times New Roman"/>
                <w:i/>
                <w:iCs/>
                <w:sz w:val="20"/>
                <w:szCs w:val="20"/>
              </w:rPr>
              <w:t>CSI-RS overlapped with PDSCH</w:t>
            </w:r>
            <w:r>
              <w:rPr>
                <w:rFonts w:ascii="Times New Roman" w:hAnsi="Times New Roman"/>
                <w:i/>
                <w:iCs/>
                <w:sz w:val="20"/>
                <w:szCs w:val="20"/>
              </w:rPr>
              <w:t>:</w:t>
            </w:r>
          </w:p>
          <w:p w14:paraId="28299A84"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1: Skip PDSCH cases for CSI-RS overlapped with PDSCH.</w:t>
            </w:r>
          </w:p>
          <w:p w14:paraId="63416527" w14:textId="5F1971A0"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eastAsia="SimSun" w:hAnsi="Times New Roman"/>
                <w:i/>
                <w:iCs/>
                <w:sz w:val="20"/>
                <w:szCs w:val="20"/>
                <w:lang w:val="en-GB"/>
              </w:rPr>
              <w:t>Option 2: Keep a down scoped set of PDSCH cases for CSI-RS overlapped with PDSCH.</w:t>
            </w:r>
          </w:p>
        </w:tc>
      </w:tr>
    </w:tbl>
    <w:p w14:paraId="7AAC760B" w14:textId="25DFA634" w:rsidR="00C56514" w:rsidRDefault="00D64B35" w:rsidP="00EA4DE4">
      <w:r w:rsidRPr="00D64B35">
        <w:t>There is only one test case when different CSI-RS resources are overlapped with PDSCH.  In this case any down-scoping is not possible. As for functional verification of correct PDSCH rate-matching in case of configured CSI-RS</w:t>
      </w:r>
      <w:r>
        <w:t xml:space="preserve">, in all other PDSCH test cases we have TRS Tx which can guarantee correct rate-matching behaviour around CSI-RS. In this case if we need to reduce the test scope, test case with overlapped CSI-RS with PDSCH can be skipped. </w:t>
      </w:r>
    </w:p>
    <w:p w14:paraId="0D88B44B" w14:textId="4099E29D" w:rsidR="00D64B35" w:rsidRDefault="00D64B35" w:rsidP="00D64B35">
      <w:pPr>
        <w:pStyle w:val="Proposal1"/>
      </w:pPr>
      <w:r w:rsidRPr="001F63CF">
        <w:t>Proposal #</w:t>
      </w:r>
      <w:r>
        <w:t>6</w:t>
      </w:r>
      <w:r w:rsidRPr="001F63CF">
        <w:t xml:space="preserve">: </w:t>
      </w:r>
      <w:r w:rsidRPr="001F63CF">
        <w:tab/>
      </w:r>
      <w:r w:rsidRPr="00D64B35">
        <w:t>Skip PDSCH cases for CSI-RS overlapped with PDSCH</w:t>
      </w:r>
      <w:r>
        <w:t>.</w:t>
      </w:r>
    </w:p>
    <w:p w14:paraId="472AC433" w14:textId="77777777" w:rsidR="00780568" w:rsidRPr="005534AE" w:rsidRDefault="00780568" w:rsidP="00D64B35">
      <w:pPr>
        <w:tabs>
          <w:tab w:val="left" w:pos="1276"/>
        </w:tabs>
        <w:rPr>
          <w:b/>
        </w:rPr>
      </w:pPr>
    </w:p>
    <w:p w14:paraId="7CEF67D7" w14:textId="5F43D55F" w:rsidR="00EA4DE4" w:rsidRPr="00C719DC" w:rsidRDefault="007D7D2C" w:rsidP="00EA4DE4">
      <w:pPr>
        <w:widowControl w:val="0"/>
        <w:rPr>
          <w:b/>
          <w:bCs/>
          <w:u w:val="single"/>
        </w:rPr>
      </w:pPr>
      <w:r>
        <w:rPr>
          <w:b/>
          <w:bCs/>
          <w:u w:val="single"/>
        </w:rPr>
        <w:lastRenderedPageBreak/>
        <w:t>Co-existence with LTE CRS</w:t>
      </w:r>
    </w:p>
    <w:tbl>
      <w:tblPr>
        <w:tblStyle w:val="TableGrid"/>
        <w:tblW w:w="0" w:type="auto"/>
        <w:tblLook w:val="04A0" w:firstRow="1" w:lastRow="0" w:firstColumn="1" w:lastColumn="0" w:noHBand="0" w:noVBand="1"/>
      </w:tblPr>
      <w:tblGrid>
        <w:gridCol w:w="9629"/>
      </w:tblGrid>
      <w:tr w:rsidR="004656B6" w14:paraId="6DEAE93D" w14:textId="77777777" w:rsidTr="00DF0DD2">
        <w:tc>
          <w:tcPr>
            <w:tcW w:w="9629" w:type="dxa"/>
          </w:tcPr>
          <w:p w14:paraId="7AB60DA6" w14:textId="331F3405" w:rsidR="004656B6" w:rsidRPr="00D87436" w:rsidRDefault="004656B6" w:rsidP="00DF0DD2">
            <w:pPr>
              <w:pStyle w:val="ListParagraph"/>
              <w:widowControl w:val="0"/>
              <w:numPr>
                <w:ilvl w:val="0"/>
                <w:numId w:val="23"/>
              </w:numPr>
              <w:rPr>
                <w:rFonts w:ascii="Times New Roman" w:hAnsi="Times New Roman"/>
                <w:i/>
                <w:iCs/>
                <w:sz w:val="20"/>
                <w:szCs w:val="20"/>
              </w:rPr>
            </w:pPr>
            <w:r w:rsidRPr="004656B6">
              <w:rPr>
                <w:rFonts w:ascii="Times New Roman" w:hAnsi="Times New Roman"/>
                <w:i/>
                <w:iCs/>
                <w:sz w:val="20"/>
                <w:szCs w:val="20"/>
              </w:rPr>
              <w:t>PDSCH co-existence with LTE CRS</w:t>
            </w:r>
            <w:r>
              <w:rPr>
                <w:rFonts w:ascii="Times New Roman" w:hAnsi="Times New Roman"/>
                <w:i/>
                <w:iCs/>
                <w:sz w:val="20"/>
                <w:szCs w:val="20"/>
              </w:rPr>
              <w:t>:</w:t>
            </w:r>
          </w:p>
          <w:p w14:paraId="7223C908"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1: Skip PDSCH cases for co-existence with LTE CRS.</w:t>
            </w:r>
          </w:p>
          <w:p w14:paraId="07088BE1" w14:textId="61E42FF1"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eastAsia="SimSun" w:hAnsi="Times New Roman"/>
                <w:i/>
                <w:iCs/>
                <w:sz w:val="20"/>
                <w:szCs w:val="20"/>
                <w:lang w:val="en-GB"/>
              </w:rPr>
              <w:t>Option 2: Keep PDSCH cases for co-existence with LTE CRS.</w:t>
            </w:r>
          </w:p>
        </w:tc>
      </w:tr>
    </w:tbl>
    <w:p w14:paraId="13A1CC50" w14:textId="63769D77" w:rsidR="00F53D76" w:rsidRDefault="00D64B35" w:rsidP="00EA4DE4">
      <w:pPr>
        <w:rPr>
          <w:lang w:eastAsia="ja-JP" w:bidi="hi-IN"/>
        </w:rPr>
      </w:pPr>
      <w:r>
        <w:rPr>
          <w:lang w:eastAsia="ja-JP" w:bidi="hi-IN"/>
        </w:rPr>
        <w:t xml:space="preserve">As baseline functionality for IAB node, DSS is not considered. Therefore. at current stage </w:t>
      </w:r>
      <w:r w:rsidR="00BC0637">
        <w:rPr>
          <w:lang w:eastAsia="ja-JP" w:bidi="hi-IN"/>
        </w:rPr>
        <w:t xml:space="preserve">to make specification more transparent and reduce maintenance efforts </w:t>
      </w:r>
      <w:r>
        <w:rPr>
          <w:lang w:eastAsia="ja-JP" w:bidi="hi-IN"/>
        </w:rPr>
        <w:t xml:space="preserve">we can skip PDSCH test cases for LTE NR co-existence. We can define </w:t>
      </w:r>
      <w:r w:rsidR="00BC0637">
        <w:rPr>
          <w:lang w:eastAsia="ja-JP" w:bidi="hi-IN"/>
        </w:rPr>
        <w:t>such requirements later by operator request.</w:t>
      </w:r>
    </w:p>
    <w:p w14:paraId="5DDFF094" w14:textId="735D8CCA" w:rsidR="004656B6" w:rsidRPr="004656B6" w:rsidRDefault="00BC0637" w:rsidP="00BC0637">
      <w:pPr>
        <w:pStyle w:val="Proposal1"/>
      </w:pPr>
      <w:r w:rsidRPr="001F63CF">
        <w:t>Proposal #</w:t>
      </w:r>
      <w:r>
        <w:t>7</w:t>
      </w:r>
      <w:r w:rsidRPr="001F63CF">
        <w:t xml:space="preserve">: </w:t>
      </w:r>
      <w:r w:rsidRPr="001F63CF">
        <w:tab/>
      </w:r>
      <w:r w:rsidRPr="00BC0637">
        <w:t>Skip PDSCH cases for co-existence with LTE CRS</w:t>
      </w:r>
      <w:r>
        <w:t>.</w:t>
      </w:r>
    </w:p>
    <w:p w14:paraId="161528B2" w14:textId="0D8B25F7" w:rsidR="00EA4DE4" w:rsidRDefault="00EA4DE4" w:rsidP="00EA4DE4">
      <w:pPr>
        <w:pStyle w:val="Heading2"/>
        <w:ind w:left="567"/>
      </w:pPr>
      <w:r>
        <w:t>P</w:t>
      </w:r>
      <w:r w:rsidR="007D7D2C">
        <w:t>D</w:t>
      </w:r>
      <w:r>
        <w:t>CCH</w:t>
      </w:r>
    </w:p>
    <w:p w14:paraId="1DE93DB1" w14:textId="0F97A8DE" w:rsidR="00EA4DE4" w:rsidRDefault="007D7D2C" w:rsidP="00EA4DE4">
      <w:pPr>
        <w:widowControl w:val="0"/>
        <w:rPr>
          <w:b/>
          <w:bCs/>
          <w:u w:val="single"/>
        </w:rPr>
      </w:pPr>
      <w:r>
        <w:rPr>
          <w:b/>
          <w:bCs/>
          <w:u w:val="single"/>
        </w:rPr>
        <w:t>Aggregation level</w:t>
      </w:r>
    </w:p>
    <w:tbl>
      <w:tblPr>
        <w:tblStyle w:val="TableGrid"/>
        <w:tblW w:w="0" w:type="auto"/>
        <w:tblLook w:val="04A0" w:firstRow="1" w:lastRow="0" w:firstColumn="1" w:lastColumn="0" w:noHBand="0" w:noVBand="1"/>
      </w:tblPr>
      <w:tblGrid>
        <w:gridCol w:w="9629"/>
      </w:tblGrid>
      <w:tr w:rsidR="004656B6" w14:paraId="2CC66E61" w14:textId="77777777" w:rsidTr="00DF0DD2">
        <w:tc>
          <w:tcPr>
            <w:tcW w:w="9629" w:type="dxa"/>
          </w:tcPr>
          <w:p w14:paraId="5582A1E8" w14:textId="53DBB2A0" w:rsidR="004656B6" w:rsidRPr="00D87436" w:rsidRDefault="004656B6" w:rsidP="00DF0DD2">
            <w:pPr>
              <w:pStyle w:val="ListParagraph"/>
              <w:widowControl w:val="0"/>
              <w:numPr>
                <w:ilvl w:val="0"/>
                <w:numId w:val="23"/>
              </w:numPr>
              <w:rPr>
                <w:rFonts w:ascii="Times New Roman" w:hAnsi="Times New Roman"/>
                <w:i/>
                <w:iCs/>
                <w:sz w:val="20"/>
                <w:szCs w:val="20"/>
              </w:rPr>
            </w:pPr>
            <w:r w:rsidRPr="004656B6">
              <w:rPr>
                <w:rFonts w:ascii="Times New Roman" w:hAnsi="Times New Roman"/>
                <w:i/>
                <w:iCs/>
                <w:sz w:val="20"/>
                <w:szCs w:val="20"/>
              </w:rPr>
              <w:t>Aggregation level</w:t>
            </w:r>
            <w:r>
              <w:rPr>
                <w:rFonts w:ascii="Times New Roman" w:hAnsi="Times New Roman"/>
                <w:i/>
                <w:iCs/>
                <w:sz w:val="20"/>
                <w:szCs w:val="20"/>
              </w:rPr>
              <w:t>:</w:t>
            </w:r>
          </w:p>
          <w:p w14:paraId="0E10F888"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1: Only keep PDCCH performance requirements with AL 8.</w:t>
            </w:r>
          </w:p>
          <w:p w14:paraId="3C1B1FEC"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2: Include all requirements but declare which is supported and/or use applicability rule.</w:t>
            </w:r>
          </w:p>
          <w:p w14:paraId="41F9F205" w14:textId="77A46225"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eastAsia="SimSun" w:hAnsi="Times New Roman"/>
                <w:i/>
                <w:iCs/>
                <w:sz w:val="20"/>
                <w:szCs w:val="20"/>
                <w:lang w:val="en-GB"/>
              </w:rPr>
              <w:t>Option 3: The MT has to support all aggregation levels and there is no capability to inform the parent about support.</w:t>
            </w:r>
          </w:p>
        </w:tc>
      </w:tr>
    </w:tbl>
    <w:p w14:paraId="475A73E6" w14:textId="109FDAFD" w:rsidR="004656B6" w:rsidRPr="003F7A4E" w:rsidRDefault="00BC0637" w:rsidP="00EA4DE4">
      <w:pPr>
        <w:widowControl w:val="0"/>
      </w:pPr>
      <w:r>
        <w:t xml:space="preserve">For each aggregation level </w:t>
      </w:r>
      <w:r w:rsidR="00F70E73">
        <w:t xml:space="preserve">(higher than one) </w:t>
      </w:r>
      <w:r>
        <w:t>there is only one</w:t>
      </w:r>
      <w:r w:rsidR="00517957" w:rsidRPr="000C0584">
        <w:rPr>
          <w:lang w:val="en-US"/>
        </w:rPr>
        <w:t xml:space="preserve"> </w:t>
      </w:r>
      <w:r w:rsidR="000C0584">
        <w:rPr>
          <w:lang w:val="en-US"/>
        </w:rPr>
        <w:t>or two</w:t>
      </w:r>
      <w:r>
        <w:t xml:space="preserve"> PDCCH test case</w:t>
      </w:r>
      <w:r w:rsidR="000C0584">
        <w:t>s</w:t>
      </w:r>
      <w:r>
        <w:t xml:space="preserve"> per Duplex per number of Rx antennas. </w:t>
      </w:r>
      <w:r w:rsidR="00F70E73">
        <w:t xml:space="preserve">Different networks can use different configurations hence we cannot prioritize </w:t>
      </w:r>
      <w:r w:rsidR="00332767">
        <w:t>some of them</w:t>
      </w:r>
      <w:r w:rsidR="00F70E73">
        <w:t xml:space="preserve">. </w:t>
      </w:r>
      <w:r w:rsidR="00456143">
        <w:t>In accordance to TS 38.306, for IAB-MT node it is mandatory to support all aggregation levels.</w:t>
      </w:r>
      <w:r w:rsidR="00F70E73">
        <w:t xml:space="preserve"> </w:t>
      </w:r>
      <w:r w:rsidR="006611E5">
        <w:t>As for applicability rule, different DCI formats and propagation conditions are used in test case therefore it is not reasonable to define them.</w:t>
      </w:r>
    </w:p>
    <w:p w14:paraId="468B8F83" w14:textId="0EF3F811" w:rsidR="00D71439" w:rsidRPr="005534AE" w:rsidRDefault="00D71439" w:rsidP="00D71439">
      <w:pPr>
        <w:tabs>
          <w:tab w:val="left" w:pos="1276"/>
        </w:tabs>
        <w:ind w:left="1276" w:hanging="1276"/>
        <w:rPr>
          <w:b/>
        </w:rPr>
      </w:pPr>
      <w:r w:rsidRPr="005534AE">
        <w:rPr>
          <w:b/>
        </w:rPr>
        <w:t>Proposal #</w:t>
      </w:r>
      <w:r w:rsidR="003F7A4E">
        <w:rPr>
          <w:b/>
        </w:rPr>
        <w:t>8</w:t>
      </w:r>
      <w:r w:rsidRPr="005534AE">
        <w:rPr>
          <w:b/>
        </w:rPr>
        <w:t xml:space="preserve">: </w:t>
      </w:r>
      <w:r w:rsidRPr="005534AE">
        <w:rPr>
          <w:b/>
        </w:rPr>
        <w:tab/>
      </w:r>
      <w:r w:rsidR="003F7A4E" w:rsidRPr="003F7A4E">
        <w:rPr>
          <w:b/>
        </w:rPr>
        <w:t xml:space="preserve">Include all </w:t>
      </w:r>
      <w:r w:rsidR="003F7A4E">
        <w:rPr>
          <w:b/>
        </w:rPr>
        <w:t xml:space="preserve">PDCCH </w:t>
      </w:r>
      <w:r w:rsidR="003F7A4E" w:rsidRPr="003F7A4E">
        <w:rPr>
          <w:b/>
        </w:rPr>
        <w:t>requirement</w:t>
      </w:r>
      <w:r w:rsidR="006611E5">
        <w:rPr>
          <w:b/>
        </w:rPr>
        <w:t>s</w:t>
      </w:r>
      <w:r w:rsidR="003D3EDF">
        <w:rPr>
          <w:b/>
        </w:rPr>
        <w:t xml:space="preserve"> and require IAB-MT to pass all of them</w:t>
      </w:r>
      <w:r>
        <w:rPr>
          <w:b/>
        </w:rPr>
        <w:t>.</w:t>
      </w:r>
    </w:p>
    <w:p w14:paraId="731931DA" w14:textId="77777777" w:rsidR="00D71439" w:rsidRPr="001845E1" w:rsidRDefault="00D71439" w:rsidP="00EA4DE4">
      <w:pPr>
        <w:widowControl w:val="0"/>
      </w:pPr>
    </w:p>
    <w:p w14:paraId="7BF2D0B6" w14:textId="17B90E87" w:rsidR="00EA4DE4" w:rsidRDefault="007D7D2C" w:rsidP="00EA4DE4">
      <w:pPr>
        <w:widowControl w:val="0"/>
        <w:rPr>
          <w:b/>
          <w:bCs/>
          <w:u w:val="single"/>
        </w:rPr>
      </w:pPr>
      <w:r w:rsidRPr="007D7D2C">
        <w:rPr>
          <w:b/>
          <w:bCs/>
          <w:u w:val="single"/>
        </w:rPr>
        <w:t>Test parameters simplification</w:t>
      </w:r>
    </w:p>
    <w:tbl>
      <w:tblPr>
        <w:tblStyle w:val="TableGrid"/>
        <w:tblW w:w="0" w:type="auto"/>
        <w:tblLook w:val="04A0" w:firstRow="1" w:lastRow="0" w:firstColumn="1" w:lastColumn="0" w:noHBand="0" w:noVBand="1"/>
      </w:tblPr>
      <w:tblGrid>
        <w:gridCol w:w="9629"/>
      </w:tblGrid>
      <w:tr w:rsidR="004656B6" w14:paraId="7E7E6F58" w14:textId="77777777" w:rsidTr="00DF0DD2">
        <w:tc>
          <w:tcPr>
            <w:tcW w:w="9629" w:type="dxa"/>
          </w:tcPr>
          <w:p w14:paraId="0E62ED95" w14:textId="3C879AA5" w:rsidR="004656B6" w:rsidRPr="00D87436" w:rsidRDefault="004656B6" w:rsidP="00DF0DD2">
            <w:pPr>
              <w:pStyle w:val="ListParagraph"/>
              <w:widowControl w:val="0"/>
              <w:numPr>
                <w:ilvl w:val="0"/>
                <w:numId w:val="23"/>
              </w:numPr>
              <w:rPr>
                <w:rFonts w:ascii="Times New Roman" w:hAnsi="Times New Roman"/>
                <w:i/>
                <w:iCs/>
                <w:sz w:val="20"/>
                <w:szCs w:val="20"/>
              </w:rPr>
            </w:pPr>
            <w:r w:rsidRPr="004656B6">
              <w:rPr>
                <w:rFonts w:ascii="Times New Roman" w:hAnsi="Times New Roman"/>
                <w:i/>
                <w:iCs/>
                <w:sz w:val="20"/>
                <w:szCs w:val="20"/>
              </w:rPr>
              <w:t>Test parameters specification simplification</w:t>
            </w:r>
            <w:r>
              <w:rPr>
                <w:rFonts w:ascii="Times New Roman" w:hAnsi="Times New Roman"/>
                <w:i/>
                <w:iCs/>
                <w:sz w:val="20"/>
                <w:szCs w:val="20"/>
              </w:rPr>
              <w:t>:</w:t>
            </w:r>
          </w:p>
          <w:p w14:paraId="76019A0D" w14:textId="77777777"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hAnsi="Times New Roman"/>
                <w:i/>
                <w:iCs/>
                <w:sz w:val="20"/>
                <w:szCs w:val="20"/>
              </w:rPr>
              <w:t>Option 1: Remove the CSI-RS for tracking parameters from the UE demod PDCCH requirements and leave them up to implementation.</w:t>
            </w:r>
          </w:p>
          <w:p w14:paraId="22825EE0" w14:textId="367FD5F1" w:rsidR="004656B6" w:rsidRPr="004656B6" w:rsidRDefault="004656B6" w:rsidP="004656B6">
            <w:pPr>
              <w:pStyle w:val="ListParagraph"/>
              <w:widowControl w:val="0"/>
              <w:numPr>
                <w:ilvl w:val="1"/>
                <w:numId w:val="23"/>
              </w:numPr>
              <w:rPr>
                <w:rFonts w:ascii="Times New Roman" w:hAnsi="Times New Roman"/>
                <w:i/>
                <w:iCs/>
                <w:sz w:val="20"/>
                <w:szCs w:val="20"/>
              </w:rPr>
            </w:pPr>
            <w:r w:rsidRPr="004656B6">
              <w:rPr>
                <w:rFonts w:ascii="Times New Roman" w:eastAsia="SimSun" w:hAnsi="Times New Roman"/>
                <w:i/>
                <w:iCs/>
                <w:sz w:val="20"/>
                <w:szCs w:val="20"/>
                <w:lang w:val="en-GB"/>
              </w:rPr>
              <w:t xml:space="preserve">Option 2: Keep the CSI-RS for tracking parameters from the UE demod PDCCH requirements. </w:t>
            </w:r>
            <w:r w:rsidRPr="004656B6">
              <w:rPr>
                <w:rFonts w:ascii="Times New Roman" w:eastAsia="SimSun" w:hAnsi="Times New Roman"/>
                <w:i/>
                <w:iCs/>
                <w:sz w:val="20"/>
                <w:szCs w:val="20"/>
                <w:lang w:val="en-GB"/>
              </w:rPr>
              <w:br/>
              <w:t>Since the link is configured by the parents this cannot be left to implementation. The MT is supposed to work with different parents.</w:t>
            </w:r>
          </w:p>
        </w:tc>
      </w:tr>
    </w:tbl>
    <w:p w14:paraId="63C44D2B" w14:textId="3B953D74" w:rsidR="003F7A4E" w:rsidRPr="006D455B" w:rsidRDefault="003F7A4E" w:rsidP="006D455B">
      <w:pPr>
        <w:widowControl w:val="0"/>
      </w:pPr>
      <w:r w:rsidRPr="003F7A4E">
        <w:t xml:space="preserve">There are now CSI-RS for tracking parameters which are optional to support for </w:t>
      </w:r>
      <w:r w:rsidR="00040E3F">
        <w:t>IAB-MT</w:t>
      </w:r>
      <w:r w:rsidRPr="003F7A4E">
        <w:t>. Moreover</w:t>
      </w:r>
      <w:r>
        <w:t>,</w:t>
      </w:r>
      <w:r w:rsidRPr="003F7A4E">
        <w:t xml:space="preserve"> all of them correspond to </w:t>
      </w:r>
      <w:r>
        <w:t>simple configuration of time/frequency positions and there is no difference from implementation perspective</w:t>
      </w:r>
      <w:r w:rsidR="006D455B">
        <w:t xml:space="preserve">. </w:t>
      </w:r>
      <w:r>
        <w:t xml:space="preserve">In this case it is more transparent to keep these parameters from UE requirements for IAB-MT requirements. </w:t>
      </w:r>
    </w:p>
    <w:p w14:paraId="75158422" w14:textId="314960A0" w:rsidR="003F7A4E" w:rsidRPr="005534AE" w:rsidRDefault="003F7A4E" w:rsidP="003F7A4E">
      <w:pPr>
        <w:tabs>
          <w:tab w:val="left" w:pos="1276"/>
        </w:tabs>
        <w:ind w:left="1276" w:hanging="1276"/>
        <w:rPr>
          <w:b/>
        </w:rPr>
      </w:pPr>
      <w:r w:rsidRPr="005534AE">
        <w:rPr>
          <w:b/>
        </w:rPr>
        <w:t>Proposal #</w:t>
      </w:r>
      <w:r w:rsidR="006E1592">
        <w:rPr>
          <w:b/>
        </w:rPr>
        <w:t>9</w:t>
      </w:r>
      <w:r w:rsidRPr="005534AE">
        <w:rPr>
          <w:b/>
        </w:rPr>
        <w:t xml:space="preserve">: </w:t>
      </w:r>
      <w:r w:rsidRPr="005534AE">
        <w:rPr>
          <w:b/>
        </w:rPr>
        <w:tab/>
      </w:r>
      <w:r w:rsidRPr="003F7A4E">
        <w:rPr>
          <w:b/>
        </w:rPr>
        <w:t xml:space="preserve">Keep the CSI-RS for tracking parameters </w:t>
      </w:r>
      <w:r w:rsidR="003D3EDF">
        <w:rPr>
          <w:b/>
        </w:rPr>
        <w:t xml:space="preserve">for IAB-MT node PDCCH test cases </w:t>
      </w:r>
      <w:r w:rsidRPr="003F7A4E">
        <w:rPr>
          <w:b/>
        </w:rPr>
        <w:t xml:space="preserve">from the UE PDCCH </w:t>
      </w:r>
      <w:r w:rsidR="003D3EDF">
        <w:rPr>
          <w:b/>
        </w:rPr>
        <w:t xml:space="preserve">performance </w:t>
      </w:r>
      <w:r w:rsidRPr="003F7A4E">
        <w:rPr>
          <w:b/>
        </w:rPr>
        <w:t>requirements</w:t>
      </w:r>
      <w:r>
        <w:rPr>
          <w:b/>
        </w:rPr>
        <w:t>.</w:t>
      </w:r>
    </w:p>
    <w:p w14:paraId="316F1AC6" w14:textId="5382771B" w:rsidR="004656B6" w:rsidRDefault="004656B6" w:rsidP="00EA4DE4">
      <w:pPr>
        <w:widowControl w:val="0"/>
        <w:rPr>
          <w:b/>
          <w:bCs/>
          <w:u w:val="single"/>
        </w:rPr>
      </w:pPr>
    </w:p>
    <w:p w14:paraId="723A2915" w14:textId="6B2F2C98" w:rsidR="00E43176" w:rsidRDefault="007969B0" w:rsidP="00E43176">
      <w:pPr>
        <w:pStyle w:val="Heading2"/>
        <w:ind w:left="567"/>
        <w:rPr>
          <w:lang w:val="en-US"/>
        </w:rPr>
      </w:pPr>
      <w:r>
        <w:t>PBCH</w:t>
      </w:r>
    </w:p>
    <w:p w14:paraId="3E11CB4B" w14:textId="67635A30" w:rsidR="00EB4730" w:rsidRDefault="00EB4730" w:rsidP="00E43176">
      <w:pPr>
        <w:rPr>
          <w:lang w:val="en-US" w:eastAsia="ja-JP" w:bidi="hi-IN"/>
        </w:rPr>
      </w:pPr>
      <w:r>
        <w:rPr>
          <w:lang w:val="en-US" w:eastAsia="ja-JP" w:bidi="hi-IN"/>
        </w:rPr>
        <w:t>IAB-node needs to send SSBs from DU to be discovered by IAB-child, but also measure SSBs from other IAB-nodes using IAB-MT functionality. This cannot be done in Rel-16 due to restrictions on full duplex operation. To address this</w:t>
      </w:r>
      <w:r w:rsidR="00040E3F">
        <w:rPr>
          <w:lang w:val="en-US" w:eastAsia="ja-JP" w:bidi="hi-IN"/>
        </w:rPr>
        <w:t>,</w:t>
      </w:r>
      <w:r>
        <w:rPr>
          <w:lang w:val="en-US" w:eastAsia="ja-JP" w:bidi="hi-IN"/>
        </w:rPr>
        <w:t xml:space="preserve"> </w:t>
      </w:r>
      <w:r w:rsidR="00E43176">
        <w:rPr>
          <w:lang w:val="en-US" w:eastAsia="ja-JP" w:bidi="hi-IN"/>
        </w:rPr>
        <w:t xml:space="preserve">IAB node discovery and measurements procedure </w:t>
      </w:r>
      <w:r>
        <w:rPr>
          <w:lang w:val="en-US" w:eastAsia="ja-JP" w:bidi="hi-IN"/>
        </w:rPr>
        <w:t>was</w:t>
      </w:r>
      <w:r w:rsidR="00E43176">
        <w:rPr>
          <w:lang w:val="en-US" w:eastAsia="ja-JP" w:bidi="hi-IN"/>
        </w:rPr>
        <w:t xml:space="preserve"> defined as 2-stage mode. </w:t>
      </w:r>
    </w:p>
    <w:p w14:paraId="0BCEAC59" w14:textId="26CE583E" w:rsidR="00E43176" w:rsidRDefault="00E43176" w:rsidP="00E43176">
      <w:pPr>
        <w:rPr>
          <w:lang w:val="en-US" w:eastAsia="ja-JP" w:bidi="hi-IN"/>
        </w:rPr>
      </w:pPr>
      <w:r>
        <w:rPr>
          <w:lang w:val="en-US" w:eastAsia="ja-JP" w:bidi="hi-IN"/>
        </w:rPr>
        <w:t xml:space="preserve">The first stage </w:t>
      </w:r>
      <w:r w:rsidR="00EB4730">
        <w:rPr>
          <w:lang w:val="en-US" w:eastAsia="ja-JP" w:bidi="hi-IN"/>
        </w:rPr>
        <w:t xml:space="preserve">is used for initial network access and </w:t>
      </w:r>
      <w:r>
        <w:rPr>
          <w:lang w:val="en-US" w:eastAsia="ja-JP" w:bidi="hi-IN"/>
        </w:rPr>
        <w:t xml:space="preserve">operates with SSBs on Rel-15 SSB raster. </w:t>
      </w:r>
      <w:r w:rsidR="00EB4730">
        <w:rPr>
          <w:lang w:val="en-US" w:eastAsia="ja-JP" w:bidi="hi-IN"/>
        </w:rPr>
        <w:t>The second stage is used to operate with other IAB nodes. A</w:t>
      </w:r>
      <w:r>
        <w:rPr>
          <w:lang w:val="en-US" w:eastAsia="ja-JP" w:bidi="hi-IN"/>
        </w:rPr>
        <w:t xml:space="preserve"> shifted IAB SSB raster is used in </w:t>
      </w:r>
      <w:r w:rsidR="00EB4730">
        <w:rPr>
          <w:lang w:val="en-US" w:eastAsia="ja-JP" w:bidi="hi-IN"/>
        </w:rPr>
        <w:t>this</w:t>
      </w:r>
      <w:r>
        <w:rPr>
          <w:lang w:val="en-US" w:eastAsia="ja-JP" w:bidi="hi-IN"/>
        </w:rPr>
        <w:t xml:space="preserve"> stage</w:t>
      </w:r>
      <w:r w:rsidR="00EB4730">
        <w:rPr>
          <w:lang w:val="en-US" w:eastAsia="ja-JP" w:bidi="hi-IN"/>
        </w:rPr>
        <w:t xml:space="preserve"> to not affect normal UE access</w:t>
      </w:r>
      <w:r>
        <w:rPr>
          <w:lang w:val="en-US" w:eastAsia="ja-JP" w:bidi="hi-IN"/>
        </w:rPr>
        <w:t xml:space="preserve">. From </w:t>
      </w:r>
      <w:r w:rsidR="00EB4730">
        <w:rPr>
          <w:lang w:val="en-US" w:eastAsia="ja-JP" w:bidi="hi-IN"/>
        </w:rPr>
        <w:t>PBCH demodulation processing there are no changes comparing to normal UE behavior since the changes affect only SSBs position in time.</w:t>
      </w:r>
    </w:p>
    <w:p w14:paraId="551BFCF7" w14:textId="2118567B" w:rsidR="00EB4730" w:rsidRDefault="006E1592" w:rsidP="00E43176">
      <w:pPr>
        <w:rPr>
          <w:lang w:val="en-US" w:eastAsia="ja-JP" w:bidi="hi-IN"/>
        </w:rPr>
      </w:pPr>
      <w:r>
        <w:rPr>
          <w:lang w:val="en-US" w:eastAsia="ja-JP" w:bidi="hi-IN"/>
        </w:rPr>
        <w:lastRenderedPageBreak/>
        <w:t xml:space="preserve">For UE performance verification only two PBCH requirements were defined per duplex mode per number of Rx antennas: one for </w:t>
      </w:r>
      <w:r w:rsidRPr="006E1592">
        <w:rPr>
          <w:lang w:val="en-US" w:eastAsia="ja-JP" w:bidi="hi-IN"/>
        </w:rPr>
        <w:t xml:space="preserve">case </w:t>
      </w:r>
      <w:r>
        <w:rPr>
          <w:lang w:val="en-US" w:eastAsia="ja-JP" w:bidi="hi-IN"/>
        </w:rPr>
        <w:t xml:space="preserve">when </w:t>
      </w:r>
      <w:r w:rsidRPr="006E1592">
        <w:rPr>
          <w:lang w:val="en-US" w:eastAsia="ja-JP" w:bidi="hi-IN"/>
        </w:rPr>
        <w:t>SS/BPCH block index is known</w:t>
      </w:r>
      <w:r>
        <w:rPr>
          <w:lang w:val="en-US" w:eastAsia="ja-JP" w:bidi="hi-IN"/>
        </w:rPr>
        <w:t xml:space="preserve"> and other one when </w:t>
      </w:r>
      <w:r w:rsidRPr="006E1592">
        <w:rPr>
          <w:lang w:val="en-US" w:eastAsia="ja-JP" w:bidi="hi-IN"/>
        </w:rPr>
        <w:t xml:space="preserve">SS/BPCH block index is </w:t>
      </w:r>
      <w:r>
        <w:rPr>
          <w:lang w:val="en-US" w:eastAsia="ja-JP" w:bidi="hi-IN"/>
        </w:rPr>
        <w:t xml:space="preserve">not </w:t>
      </w:r>
      <w:r w:rsidRPr="006E1592">
        <w:rPr>
          <w:lang w:val="en-US" w:eastAsia="ja-JP" w:bidi="hi-IN"/>
        </w:rPr>
        <w:t>known</w:t>
      </w:r>
      <w:r>
        <w:rPr>
          <w:lang w:val="en-US" w:eastAsia="ja-JP" w:bidi="hi-IN"/>
        </w:rPr>
        <w:t>. For IAB-MT it is better to reuse both of them from test coverage perspective.</w:t>
      </w:r>
    </w:p>
    <w:p w14:paraId="0F10F2E8" w14:textId="775E1A18" w:rsidR="00EB4730" w:rsidRPr="005534AE" w:rsidRDefault="00EB4730" w:rsidP="00EB4730">
      <w:pPr>
        <w:tabs>
          <w:tab w:val="left" w:pos="1276"/>
        </w:tabs>
        <w:ind w:left="1276" w:hanging="1276"/>
        <w:rPr>
          <w:b/>
        </w:rPr>
      </w:pPr>
      <w:r w:rsidRPr="005534AE">
        <w:rPr>
          <w:b/>
        </w:rPr>
        <w:t>Proposal #</w:t>
      </w:r>
      <w:r w:rsidR="006E1592">
        <w:rPr>
          <w:b/>
        </w:rPr>
        <w:t>10</w:t>
      </w:r>
      <w:r w:rsidRPr="005534AE">
        <w:rPr>
          <w:b/>
        </w:rPr>
        <w:t xml:space="preserve">: </w:t>
      </w:r>
      <w:r w:rsidRPr="005534AE">
        <w:rPr>
          <w:b/>
        </w:rPr>
        <w:tab/>
      </w:r>
      <w:r>
        <w:rPr>
          <w:b/>
        </w:rPr>
        <w:t>Reuse UE PBCH requirements for IAB-MT node.</w:t>
      </w:r>
    </w:p>
    <w:p w14:paraId="073D1677" w14:textId="77777777" w:rsidR="00BE24E4" w:rsidRDefault="00BE24E4" w:rsidP="0012719C">
      <w:pPr>
        <w:tabs>
          <w:tab w:val="left" w:pos="1276"/>
        </w:tabs>
        <w:rPr>
          <w:b/>
        </w:rPr>
      </w:pPr>
    </w:p>
    <w:p w14:paraId="39A82079" w14:textId="51120EA0" w:rsidR="007D7D2C" w:rsidRDefault="007D7D2C" w:rsidP="007D7D2C">
      <w:pPr>
        <w:pStyle w:val="Heading2"/>
        <w:ind w:left="567"/>
      </w:pPr>
      <w:r>
        <w:t>CSI</w:t>
      </w:r>
    </w:p>
    <w:p w14:paraId="5BF19FB4" w14:textId="77777777" w:rsidR="0012719C" w:rsidRDefault="0012719C" w:rsidP="0012719C">
      <w:pPr>
        <w:widowControl w:val="0"/>
        <w:rPr>
          <w:b/>
          <w:bCs/>
          <w:u w:val="single"/>
        </w:rPr>
      </w:pPr>
      <w:r>
        <w:rPr>
          <w:b/>
          <w:bCs/>
          <w:u w:val="single"/>
        </w:rPr>
        <w:t>Requirements down-scoping</w:t>
      </w:r>
    </w:p>
    <w:p w14:paraId="378F9957" w14:textId="7C08F23A" w:rsidR="0012719C" w:rsidRPr="00F1582A" w:rsidRDefault="0012719C" w:rsidP="00F1582A">
      <w:pPr>
        <w:rPr>
          <w:lang w:eastAsia="ja-JP" w:bidi="hi-IN"/>
        </w:rPr>
      </w:pPr>
      <w:r>
        <w:rPr>
          <w:lang w:eastAsia="ja-JP" w:bidi="hi-IN"/>
        </w:rPr>
        <w:t>The following possible options were captured for CSI test efforts reduction for IAB-MT node:</w:t>
      </w:r>
    </w:p>
    <w:tbl>
      <w:tblPr>
        <w:tblStyle w:val="TableGrid"/>
        <w:tblW w:w="0" w:type="auto"/>
        <w:tblLook w:val="04A0" w:firstRow="1" w:lastRow="0" w:firstColumn="1" w:lastColumn="0" w:noHBand="0" w:noVBand="1"/>
      </w:tblPr>
      <w:tblGrid>
        <w:gridCol w:w="9629"/>
      </w:tblGrid>
      <w:tr w:rsidR="0012719C" w14:paraId="10CA0498" w14:textId="77777777" w:rsidTr="00271398">
        <w:tc>
          <w:tcPr>
            <w:tcW w:w="9629" w:type="dxa"/>
          </w:tcPr>
          <w:p w14:paraId="1AFA7214" w14:textId="77777777" w:rsidR="0012719C" w:rsidRPr="00D87436" w:rsidRDefault="0012719C" w:rsidP="00271398">
            <w:pPr>
              <w:pStyle w:val="ListParagraph"/>
              <w:widowControl w:val="0"/>
              <w:numPr>
                <w:ilvl w:val="0"/>
                <w:numId w:val="23"/>
              </w:numPr>
              <w:rPr>
                <w:rFonts w:ascii="Times New Roman" w:hAnsi="Times New Roman"/>
                <w:i/>
                <w:iCs/>
                <w:sz w:val="20"/>
                <w:szCs w:val="20"/>
              </w:rPr>
            </w:pPr>
            <w:bookmarkStart w:id="3" w:name="_Hlk61207003"/>
            <w:r w:rsidRPr="00B949F6">
              <w:rPr>
                <w:rFonts w:ascii="Times New Roman" w:hAnsi="Times New Roman"/>
                <w:i/>
                <w:iCs/>
                <w:sz w:val="20"/>
                <w:szCs w:val="20"/>
              </w:rPr>
              <w:t>CSI-RS resource type</w:t>
            </w:r>
            <w:r>
              <w:rPr>
                <w:rFonts w:ascii="Times New Roman" w:hAnsi="Times New Roman"/>
                <w:i/>
                <w:iCs/>
                <w:sz w:val="20"/>
                <w:szCs w:val="20"/>
              </w:rPr>
              <w:t>:</w:t>
            </w:r>
          </w:p>
          <w:p w14:paraId="14F72A15" w14:textId="77777777" w:rsidR="0012719C" w:rsidRPr="00B949F6" w:rsidRDefault="0012719C" w:rsidP="00271398">
            <w:pPr>
              <w:pStyle w:val="ListParagraph"/>
              <w:widowControl w:val="0"/>
              <w:numPr>
                <w:ilvl w:val="1"/>
                <w:numId w:val="23"/>
              </w:numPr>
              <w:rPr>
                <w:rFonts w:ascii="Times New Roman" w:hAnsi="Times New Roman"/>
                <w:i/>
                <w:iCs/>
                <w:sz w:val="20"/>
                <w:szCs w:val="20"/>
              </w:rPr>
            </w:pPr>
            <w:r w:rsidRPr="00B949F6">
              <w:rPr>
                <w:rFonts w:ascii="Times New Roman" w:hAnsi="Times New Roman"/>
                <w:i/>
                <w:iCs/>
                <w:sz w:val="20"/>
                <w:szCs w:val="20"/>
              </w:rPr>
              <w:t>Option 1: Only keep periodic NZP CSI-RS resource type for CQI/PMI/RI reporting cases.</w:t>
            </w:r>
          </w:p>
          <w:p w14:paraId="28081DD0" w14:textId="77777777" w:rsidR="0012719C" w:rsidRPr="0012719C" w:rsidRDefault="0012719C" w:rsidP="00271398">
            <w:pPr>
              <w:pStyle w:val="ListParagraph"/>
              <w:widowControl w:val="0"/>
              <w:numPr>
                <w:ilvl w:val="1"/>
                <w:numId w:val="23"/>
              </w:numPr>
              <w:rPr>
                <w:rFonts w:ascii="Times New Roman" w:hAnsi="Times New Roman"/>
                <w:i/>
                <w:iCs/>
                <w:sz w:val="20"/>
                <w:szCs w:val="20"/>
              </w:rPr>
            </w:pPr>
            <w:r w:rsidRPr="00B949F6">
              <w:rPr>
                <w:rFonts w:ascii="Times New Roman" w:eastAsia="SimSun" w:hAnsi="Times New Roman"/>
                <w:i/>
                <w:iCs/>
                <w:sz w:val="20"/>
                <w:szCs w:val="20"/>
                <w:lang w:val="en-GB"/>
              </w:rPr>
              <w:t>Option 2: Keep all UE demod configuration for NZP CSI-RS resource types for CQI/PMI/RI reporting cases</w:t>
            </w:r>
            <w:r w:rsidRPr="004656B6">
              <w:rPr>
                <w:rFonts w:ascii="Times New Roman" w:eastAsia="SimSun" w:hAnsi="Times New Roman"/>
                <w:i/>
                <w:iCs/>
                <w:sz w:val="20"/>
                <w:szCs w:val="20"/>
                <w:lang w:val="en-GB"/>
              </w:rPr>
              <w:t>.</w:t>
            </w:r>
          </w:p>
          <w:p w14:paraId="5A6C7C58" w14:textId="77777777" w:rsidR="0012719C" w:rsidRPr="00D87436" w:rsidRDefault="0012719C" w:rsidP="0012719C">
            <w:pPr>
              <w:pStyle w:val="ListParagraph"/>
              <w:widowControl w:val="0"/>
              <w:numPr>
                <w:ilvl w:val="0"/>
                <w:numId w:val="23"/>
              </w:numPr>
              <w:rPr>
                <w:rFonts w:ascii="Times New Roman" w:hAnsi="Times New Roman"/>
                <w:i/>
                <w:iCs/>
                <w:sz w:val="20"/>
                <w:szCs w:val="20"/>
              </w:rPr>
            </w:pPr>
            <w:r w:rsidRPr="00B949F6">
              <w:rPr>
                <w:rFonts w:ascii="Times New Roman" w:hAnsi="Times New Roman"/>
                <w:i/>
                <w:iCs/>
                <w:sz w:val="20"/>
                <w:szCs w:val="20"/>
              </w:rPr>
              <w:t>CQI reporting granularity</w:t>
            </w:r>
            <w:r>
              <w:rPr>
                <w:rFonts w:ascii="Times New Roman" w:hAnsi="Times New Roman"/>
                <w:i/>
                <w:iCs/>
                <w:sz w:val="20"/>
                <w:szCs w:val="20"/>
              </w:rPr>
              <w:t>:</w:t>
            </w:r>
          </w:p>
          <w:p w14:paraId="0EEB1643" w14:textId="77777777" w:rsidR="0012719C" w:rsidRPr="00B949F6" w:rsidRDefault="0012719C" w:rsidP="0012719C">
            <w:pPr>
              <w:pStyle w:val="ListParagraph"/>
              <w:widowControl w:val="0"/>
              <w:numPr>
                <w:ilvl w:val="1"/>
                <w:numId w:val="23"/>
              </w:numPr>
              <w:rPr>
                <w:rFonts w:ascii="Times New Roman" w:hAnsi="Times New Roman"/>
                <w:i/>
                <w:iCs/>
                <w:sz w:val="20"/>
                <w:szCs w:val="20"/>
              </w:rPr>
            </w:pPr>
            <w:r w:rsidRPr="00B949F6">
              <w:rPr>
                <w:rFonts w:ascii="Times New Roman" w:hAnsi="Times New Roman"/>
                <w:i/>
                <w:iCs/>
                <w:sz w:val="20"/>
                <w:szCs w:val="20"/>
              </w:rPr>
              <w:t>Option 1: Only keep wideband CQI reporting granularity for CQI/PMI/RI reporting cases.</w:t>
            </w:r>
          </w:p>
          <w:p w14:paraId="1113F90E" w14:textId="77777777" w:rsidR="0012719C" w:rsidRPr="0012719C" w:rsidRDefault="0012719C" w:rsidP="0012719C">
            <w:pPr>
              <w:pStyle w:val="ListParagraph"/>
              <w:widowControl w:val="0"/>
              <w:numPr>
                <w:ilvl w:val="1"/>
                <w:numId w:val="23"/>
              </w:numPr>
              <w:rPr>
                <w:rFonts w:ascii="Times New Roman" w:hAnsi="Times New Roman"/>
                <w:i/>
                <w:iCs/>
                <w:sz w:val="20"/>
                <w:szCs w:val="20"/>
              </w:rPr>
            </w:pPr>
            <w:r w:rsidRPr="00B949F6">
              <w:rPr>
                <w:rFonts w:ascii="Times New Roman" w:eastAsia="SimSun" w:hAnsi="Times New Roman"/>
                <w:i/>
                <w:iCs/>
                <w:sz w:val="20"/>
                <w:szCs w:val="20"/>
                <w:lang w:val="en-GB"/>
              </w:rPr>
              <w:t>Option 2: Keep wideband and sub</w:t>
            </w:r>
            <w:r>
              <w:rPr>
                <w:rFonts w:ascii="Times New Roman" w:eastAsia="SimSun" w:hAnsi="Times New Roman"/>
                <w:i/>
                <w:iCs/>
                <w:sz w:val="20"/>
                <w:szCs w:val="20"/>
                <w:lang w:val="en-GB"/>
              </w:rPr>
              <w:t>-</w:t>
            </w:r>
            <w:r w:rsidRPr="00B949F6">
              <w:rPr>
                <w:rFonts w:ascii="Times New Roman" w:eastAsia="SimSun" w:hAnsi="Times New Roman"/>
                <w:i/>
                <w:iCs/>
                <w:sz w:val="20"/>
                <w:szCs w:val="20"/>
                <w:lang w:val="en-GB"/>
              </w:rPr>
              <w:t>band CQI reporting granularity for CQI/PMI/RI reporting cases</w:t>
            </w:r>
            <w:r w:rsidRPr="004656B6">
              <w:rPr>
                <w:rFonts w:ascii="Times New Roman" w:eastAsia="SimSun" w:hAnsi="Times New Roman"/>
                <w:i/>
                <w:iCs/>
                <w:sz w:val="20"/>
                <w:szCs w:val="20"/>
                <w:lang w:val="en-GB"/>
              </w:rPr>
              <w:t>.</w:t>
            </w:r>
          </w:p>
          <w:p w14:paraId="46463E57" w14:textId="77777777" w:rsidR="0012719C" w:rsidRPr="00D87436" w:rsidRDefault="0012719C" w:rsidP="0012719C">
            <w:pPr>
              <w:pStyle w:val="ListParagraph"/>
              <w:widowControl w:val="0"/>
              <w:numPr>
                <w:ilvl w:val="0"/>
                <w:numId w:val="23"/>
              </w:numPr>
              <w:rPr>
                <w:rFonts w:ascii="Times New Roman" w:hAnsi="Times New Roman"/>
                <w:i/>
                <w:iCs/>
                <w:sz w:val="20"/>
                <w:szCs w:val="20"/>
              </w:rPr>
            </w:pPr>
            <w:r w:rsidRPr="00B949F6">
              <w:rPr>
                <w:rFonts w:ascii="Times New Roman" w:hAnsi="Times New Roman"/>
                <w:i/>
                <w:iCs/>
                <w:sz w:val="20"/>
                <w:szCs w:val="20"/>
              </w:rPr>
              <w:t>CQI/PMI/RI reporting type</w:t>
            </w:r>
            <w:r>
              <w:rPr>
                <w:rFonts w:ascii="Times New Roman" w:hAnsi="Times New Roman"/>
                <w:i/>
                <w:iCs/>
                <w:sz w:val="20"/>
                <w:szCs w:val="20"/>
              </w:rPr>
              <w:t>:</w:t>
            </w:r>
          </w:p>
          <w:p w14:paraId="0FD2688C" w14:textId="77777777" w:rsidR="0012719C" w:rsidRPr="00B949F6" w:rsidRDefault="0012719C" w:rsidP="0012719C">
            <w:pPr>
              <w:pStyle w:val="ListParagraph"/>
              <w:widowControl w:val="0"/>
              <w:numPr>
                <w:ilvl w:val="1"/>
                <w:numId w:val="23"/>
              </w:numPr>
              <w:rPr>
                <w:rFonts w:ascii="Times New Roman" w:hAnsi="Times New Roman"/>
                <w:i/>
                <w:iCs/>
                <w:sz w:val="20"/>
                <w:szCs w:val="20"/>
              </w:rPr>
            </w:pPr>
            <w:r w:rsidRPr="00B949F6">
              <w:rPr>
                <w:rFonts w:ascii="Times New Roman" w:hAnsi="Times New Roman"/>
                <w:i/>
                <w:iCs/>
                <w:sz w:val="20"/>
                <w:szCs w:val="20"/>
              </w:rPr>
              <w:t>Option 1: Only keep periodic CSI reporting type for CQI/PMI/RI reporting cases.</w:t>
            </w:r>
          </w:p>
          <w:p w14:paraId="192B5354" w14:textId="77777777" w:rsidR="0012719C" w:rsidRPr="0012719C" w:rsidRDefault="0012719C" w:rsidP="0012719C">
            <w:pPr>
              <w:pStyle w:val="ListParagraph"/>
              <w:widowControl w:val="0"/>
              <w:numPr>
                <w:ilvl w:val="1"/>
                <w:numId w:val="23"/>
              </w:numPr>
              <w:rPr>
                <w:rFonts w:ascii="Times New Roman" w:hAnsi="Times New Roman"/>
                <w:i/>
                <w:iCs/>
                <w:sz w:val="20"/>
                <w:szCs w:val="20"/>
              </w:rPr>
            </w:pPr>
            <w:r w:rsidRPr="00B949F6">
              <w:rPr>
                <w:rFonts w:ascii="Times New Roman" w:eastAsia="SimSun" w:hAnsi="Times New Roman"/>
                <w:i/>
                <w:iCs/>
                <w:sz w:val="20"/>
                <w:szCs w:val="20"/>
                <w:lang w:val="en-GB"/>
              </w:rPr>
              <w:t>Option 2: Keep periodic and aperiodic CSI reporting type for CQI/PMI/RI reporting cases</w:t>
            </w:r>
            <w:r w:rsidRPr="004656B6">
              <w:rPr>
                <w:rFonts w:ascii="Times New Roman" w:eastAsia="SimSun" w:hAnsi="Times New Roman"/>
                <w:i/>
                <w:iCs/>
                <w:sz w:val="20"/>
                <w:szCs w:val="20"/>
                <w:lang w:val="en-GB"/>
              </w:rPr>
              <w:t>.</w:t>
            </w:r>
          </w:p>
          <w:p w14:paraId="2E288C0B" w14:textId="77777777" w:rsidR="0012719C" w:rsidRPr="00D87436" w:rsidRDefault="0012719C" w:rsidP="0012719C">
            <w:pPr>
              <w:pStyle w:val="ListParagraph"/>
              <w:widowControl w:val="0"/>
              <w:numPr>
                <w:ilvl w:val="0"/>
                <w:numId w:val="23"/>
              </w:numPr>
              <w:rPr>
                <w:rFonts w:ascii="Times New Roman" w:hAnsi="Times New Roman"/>
                <w:i/>
                <w:iCs/>
                <w:sz w:val="20"/>
                <w:szCs w:val="20"/>
              </w:rPr>
            </w:pPr>
            <w:r w:rsidRPr="00B949F6">
              <w:rPr>
                <w:rFonts w:ascii="Times New Roman" w:hAnsi="Times New Roman"/>
                <w:i/>
                <w:iCs/>
                <w:sz w:val="20"/>
                <w:szCs w:val="20"/>
              </w:rPr>
              <w:t>CQI two tap channel model</w:t>
            </w:r>
            <w:r>
              <w:rPr>
                <w:rFonts w:ascii="Times New Roman" w:hAnsi="Times New Roman"/>
                <w:i/>
                <w:iCs/>
                <w:sz w:val="20"/>
                <w:szCs w:val="20"/>
              </w:rPr>
              <w:t>:</w:t>
            </w:r>
          </w:p>
          <w:p w14:paraId="64914342" w14:textId="77777777" w:rsidR="0012719C" w:rsidRPr="00B949F6" w:rsidRDefault="0012719C" w:rsidP="0012719C">
            <w:pPr>
              <w:pStyle w:val="ListParagraph"/>
              <w:widowControl w:val="0"/>
              <w:numPr>
                <w:ilvl w:val="1"/>
                <w:numId w:val="23"/>
              </w:numPr>
              <w:rPr>
                <w:rFonts w:ascii="Times New Roman" w:hAnsi="Times New Roman"/>
                <w:i/>
                <w:iCs/>
                <w:sz w:val="20"/>
                <w:szCs w:val="20"/>
              </w:rPr>
            </w:pPr>
            <w:r w:rsidRPr="00B949F6">
              <w:rPr>
                <w:rFonts w:ascii="Times New Roman" w:hAnsi="Times New Roman"/>
                <w:i/>
                <w:iCs/>
                <w:sz w:val="20"/>
                <w:szCs w:val="20"/>
              </w:rPr>
              <w:t>Option 1: Skip two tap channel model for CQI test cases.</w:t>
            </w:r>
          </w:p>
          <w:p w14:paraId="69161FAC" w14:textId="33CE1CD5" w:rsidR="0012719C" w:rsidRPr="004656B6" w:rsidRDefault="0012719C" w:rsidP="0012719C">
            <w:pPr>
              <w:pStyle w:val="ListParagraph"/>
              <w:widowControl w:val="0"/>
              <w:numPr>
                <w:ilvl w:val="1"/>
                <w:numId w:val="23"/>
              </w:numPr>
              <w:rPr>
                <w:rFonts w:ascii="Times New Roman" w:hAnsi="Times New Roman"/>
                <w:i/>
                <w:iCs/>
                <w:sz w:val="20"/>
                <w:szCs w:val="20"/>
              </w:rPr>
            </w:pPr>
            <w:r w:rsidRPr="00B949F6">
              <w:rPr>
                <w:rFonts w:ascii="Times New Roman" w:eastAsia="SimSun" w:hAnsi="Times New Roman"/>
                <w:i/>
                <w:iCs/>
                <w:sz w:val="20"/>
                <w:szCs w:val="20"/>
                <w:lang w:val="en-GB"/>
              </w:rPr>
              <w:t>Option 2: Keep two tap channel model for CQI test cases</w:t>
            </w:r>
            <w:r w:rsidRPr="004656B6">
              <w:rPr>
                <w:rFonts w:ascii="Times New Roman" w:eastAsia="SimSun" w:hAnsi="Times New Roman"/>
                <w:i/>
                <w:iCs/>
                <w:sz w:val="20"/>
                <w:szCs w:val="20"/>
                <w:lang w:val="en-GB"/>
              </w:rPr>
              <w:t>.</w:t>
            </w:r>
          </w:p>
        </w:tc>
      </w:tr>
    </w:tbl>
    <w:bookmarkEnd w:id="3"/>
    <w:p w14:paraId="22285823" w14:textId="1617B114" w:rsidR="00F1582A" w:rsidRDefault="00523FB9" w:rsidP="00BE24E4">
      <w:pPr>
        <w:rPr>
          <w:lang w:eastAsia="ja-JP" w:bidi="hi-IN"/>
        </w:rPr>
      </w:pPr>
      <w:r>
        <w:rPr>
          <w:lang w:eastAsia="ja-JP" w:bidi="hi-IN"/>
        </w:rPr>
        <w:t xml:space="preserve">To make reasonable down-scoping, below we discuss each CSI performance requirement case by case. </w:t>
      </w:r>
    </w:p>
    <w:p w14:paraId="7A44D06C" w14:textId="11E5B0EC" w:rsidR="00F1582A" w:rsidRDefault="00F1582A" w:rsidP="00BE24E4">
      <w:pPr>
        <w:rPr>
          <w:lang w:eastAsia="ja-JP" w:bidi="hi-IN"/>
        </w:rPr>
      </w:pPr>
      <w:r>
        <w:rPr>
          <w:lang w:eastAsia="ja-JP" w:bidi="hi-IN"/>
        </w:rPr>
        <w:t>In Table 1 we summarize the conducted and radiated CQI reporting requirements for TDD 4 Rx and 2 Rx configurations respectively.</w:t>
      </w:r>
      <w:r w:rsidR="00523FB9">
        <w:rPr>
          <w:lang w:eastAsia="ja-JP" w:bidi="hi-IN"/>
        </w:rPr>
        <w:t xml:space="preserve"> It can be considered as basis for IAB-MT CQI reporting requirements.</w:t>
      </w:r>
    </w:p>
    <w:p w14:paraId="185D18F0" w14:textId="4829ADE1" w:rsidR="00DC7A6D" w:rsidRDefault="00DC7A6D" w:rsidP="002834CC">
      <w:pPr>
        <w:pStyle w:val="Caption"/>
        <w:jc w:val="center"/>
      </w:pPr>
      <w:r>
        <w:t xml:space="preserve">Table </w:t>
      </w:r>
      <w:r>
        <w:fldChar w:fldCharType="begin"/>
      </w:r>
      <w:r>
        <w:instrText xml:space="preserve"> SEQ Table \* ARABIC </w:instrText>
      </w:r>
      <w:r>
        <w:fldChar w:fldCharType="separate"/>
      </w:r>
      <w:r w:rsidR="00040E3F">
        <w:rPr>
          <w:noProof/>
        </w:rPr>
        <w:t>1</w:t>
      </w:r>
      <w:r>
        <w:fldChar w:fldCharType="end"/>
      </w:r>
      <w:r>
        <w:t>. B</w:t>
      </w:r>
      <w:r w:rsidRPr="00DC7A6D">
        <w:t>asis for IAB-MT CQI reporting requirement</w:t>
      </w:r>
      <w:r>
        <w:t>s introduction</w:t>
      </w:r>
    </w:p>
    <w:tbl>
      <w:tblPr>
        <w:tblStyle w:val="GridTable5Dark-Accent5"/>
        <w:tblW w:w="0" w:type="auto"/>
        <w:jc w:val="center"/>
        <w:tblLook w:val="04A0" w:firstRow="1" w:lastRow="0" w:firstColumn="1" w:lastColumn="0" w:noHBand="0" w:noVBand="1"/>
      </w:tblPr>
      <w:tblGrid>
        <w:gridCol w:w="1083"/>
        <w:gridCol w:w="925"/>
        <w:gridCol w:w="956"/>
        <w:gridCol w:w="1250"/>
        <w:gridCol w:w="1016"/>
        <w:gridCol w:w="1016"/>
      </w:tblGrid>
      <w:tr w:rsidR="00F1582A" w14:paraId="43E2CAF7" w14:textId="77777777" w:rsidTr="002834C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tcPr>
          <w:p w14:paraId="243EF95F" w14:textId="77777777" w:rsidR="00F1582A" w:rsidRDefault="00F1582A" w:rsidP="00BE24E4">
            <w:pPr>
              <w:rPr>
                <w:lang w:eastAsia="ja-JP" w:bidi="hi-IN"/>
              </w:rPr>
            </w:pPr>
          </w:p>
        </w:tc>
        <w:tc>
          <w:tcPr>
            <w:tcW w:w="925" w:type="dxa"/>
            <w:vAlign w:val="center"/>
          </w:tcPr>
          <w:p w14:paraId="5136818C" w14:textId="206B917D" w:rsidR="00F1582A" w:rsidRDefault="00F1582A" w:rsidP="00523FB9">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Test case number</w:t>
            </w:r>
          </w:p>
        </w:tc>
        <w:tc>
          <w:tcPr>
            <w:tcW w:w="956" w:type="dxa"/>
            <w:vAlign w:val="center"/>
          </w:tcPr>
          <w:p w14:paraId="3314BCB7" w14:textId="51175910" w:rsidR="00F1582A" w:rsidRDefault="00F1582A" w:rsidP="00523FB9">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Channel model</w:t>
            </w:r>
          </w:p>
        </w:tc>
        <w:tc>
          <w:tcPr>
            <w:tcW w:w="1250" w:type="dxa"/>
            <w:vAlign w:val="center"/>
          </w:tcPr>
          <w:p w14:paraId="3D987EB0" w14:textId="47E9F43C" w:rsidR="00F1582A" w:rsidRDefault="00F1582A" w:rsidP="00523FB9">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CQI Granularity</w:t>
            </w:r>
          </w:p>
        </w:tc>
        <w:tc>
          <w:tcPr>
            <w:tcW w:w="1016" w:type="dxa"/>
            <w:vAlign w:val="center"/>
          </w:tcPr>
          <w:p w14:paraId="3FC399E7" w14:textId="7BB48D27" w:rsidR="00F1582A" w:rsidRDefault="00F1582A" w:rsidP="00523FB9">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Report config</w:t>
            </w:r>
          </w:p>
        </w:tc>
        <w:tc>
          <w:tcPr>
            <w:tcW w:w="1016" w:type="dxa"/>
            <w:vAlign w:val="center"/>
          </w:tcPr>
          <w:p w14:paraId="4DF41214" w14:textId="39D65A56" w:rsidR="00F1582A" w:rsidRDefault="00F1582A" w:rsidP="00523FB9">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CSI-RS resource type</w:t>
            </w:r>
          </w:p>
        </w:tc>
      </w:tr>
      <w:tr w:rsidR="00F1582A" w14:paraId="2F19D3EB" w14:textId="77777777" w:rsidTr="00283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val="restart"/>
            <w:textDirection w:val="btLr"/>
            <w:vAlign w:val="center"/>
          </w:tcPr>
          <w:p w14:paraId="2E7F86CA" w14:textId="108C10B0" w:rsidR="00F1582A" w:rsidRDefault="00F1582A" w:rsidP="00523FB9">
            <w:pPr>
              <w:ind w:left="113" w:right="113"/>
              <w:jc w:val="center"/>
              <w:rPr>
                <w:lang w:eastAsia="ja-JP" w:bidi="hi-IN"/>
              </w:rPr>
            </w:pPr>
            <w:r>
              <w:rPr>
                <w:lang w:eastAsia="ja-JP" w:bidi="hi-IN"/>
              </w:rPr>
              <w:t>Conducted test cases</w:t>
            </w:r>
          </w:p>
        </w:tc>
        <w:tc>
          <w:tcPr>
            <w:tcW w:w="925" w:type="dxa"/>
            <w:vAlign w:val="center"/>
          </w:tcPr>
          <w:p w14:paraId="6E91323B" w14:textId="1EF16A16"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956" w:type="dxa"/>
            <w:vAlign w:val="center"/>
          </w:tcPr>
          <w:p w14:paraId="5340ECBB" w14:textId="171B0138"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Static AWGN</w:t>
            </w:r>
          </w:p>
        </w:tc>
        <w:tc>
          <w:tcPr>
            <w:tcW w:w="1250" w:type="dxa"/>
            <w:vAlign w:val="center"/>
          </w:tcPr>
          <w:p w14:paraId="7CC69FF7" w14:textId="123A660E"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Wideband</w:t>
            </w:r>
          </w:p>
        </w:tc>
        <w:tc>
          <w:tcPr>
            <w:tcW w:w="1016" w:type="dxa"/>
            <w:vAlign w:val="center"/>
          </w:tcPr>
          <w:p w14:paraId="24E7335D" w14:textId="245BC0F8"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Periodic</w:t>
            </w:r>
          </w:p>
        </w:tc>
        <w:tc>
          <w:tcPr>
            <w:tcW w:w="1016" w:type="dxa"/>
            <w:vAlign w:val="center"/>
          </w:tcPr>
          <w:p w14:paraId="54AA41A3" w14:textId="259480C5"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Periodic</w:t>
            </w:r>
          </w:p>
        </w:tc>
      </w:tr>
      <w:tr w:rsidR="00F1582A" w14:paraId="0B0A2DBC" w14:textId="77777777" w:rsidTr="002834CC">
        <w:trPr>
          <w:jc w:val="center"/>
        </w:trPr>
        <w:tc>
          <w:tcPr>
            <w:cnfStyle w:val="001000000000" w:firstRow="0" w:lastRow="0" w:firstColumn="1" w:lastColumn="0" w:oddVBand="0" w:evenVBand="0" w:oddHBand="0" w:evenHBand="0" w:firstRowFirstColumn="0" w:firstRowLastColumn="0" w:lastRowFirstColumn="0" w:lastRowLastColumn="0"/>
            <w:tcW w:w="1083" w:type="dxa"/>
            <w:vMerge/>
            <w:textDirection w:val="btLr"/>
            <w:vAlign w:val="center"/>
          </w:tcPr>
          <w:p w14:paraId="00962A55" w14:textId="77777777" w:rsidR="00F1582A" w:rsidRDefault="00F1582A" w:rsidP="00523FB9">
            <w:pPr>
              <w:ind w:left="113" w:right="113"/>
              <w:jc w:val="center"/>
              <w:rPr>
                <w:lang w:eastAsia="ja-JP" w:bidi="hi-IN"/>
              </w:rPr>
            </w:pPr>
          </w:p>
        </w:tc>
        <w:tc>
          <w:tcPr>
            <w:tcW w:w="925" w:type="dxa"/>
            <w:vAlign w:val="center"/>
          </w:tcPr>
          <w:p w14:paraId="0CE3A8EE" w14:textId="6D62C115"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c>
          <w:tcPr>
            <w:tcW w:w="956" w:type="dxa"/>
            <w:vAlign w:val="center"/>
          </w:tcPr>
          <w:p w14:paraId="14D45BAD" w14:textId="538C8C00"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Fading</w:t>
            </w:r>
          </w:p>
        </w:tc>
        <w:tc>
          <w:tcPr>
            <w:tcW w:w="1250" w:type="dxa"/>
            <w:vAlign w:val="center"/>
          </w:tcPr>
          <w:p w14:paraId="31CDAB94" w14:textId="280307EF"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Wideband</w:t>
            </w:r>
          </w:p>
        </w:tc>
        <w:tc>
          <w:tcPr>
            <w:tcW w:w="1016" w:type="dxa"/>
            <w:vAlign w:val="center"/>
          </w:tcPr>
          <w:p w14:paraId="2EEFCD83" w14:textId="4EA0F0FD"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Periodic</w:t>
            </w:r>
          </w:p>
        </w:tc>
        <w:tc>
          <w:tcPr>
            <w:tcW w:w="1016" w:type="dxa"/>
            <w:vAlign w:val="center"/>
          </w:tcPr>
          <w:p w14:paraId="40ABD615" w14:textId="4D1CCB40"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Periodic</w:t>
            </w:r>
          </w:p>
        </w:tc>
      </w:tr>
      <w:tr w:rsidR="00F1582A" w14:paraId="79C63364" w14:textId="77777777" w:rsidTr="00283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textDirection w:val="btLr"/>
            <w:vAlign w:val="center"/>
          </w:tcPr>
          <w:p w14:paraId="652004DD" w14:textId="77777777" w:rsidR="00F1582A" w:rsidRDefault="00F1582A" w:rsidP="00523FB9">
            <w:pPr>
              <w:ind w:left="113" w:right="113"/>
              <w:jc w:val="center"/>
              <w:rPr>
                <w:lang w:eastAsia="ja-JP" w:bidi="hi-IN"/>
              </w:rPr>
            </w:pPr>
          </w:p>
        </w:tc>
        <w:tc>
          <w:tcPr>
            <w:tcW w:w="925" w:type="dxa"/>
            <w:vAlign w:val="center"/>
          </w:tcPr>
          <w:p w14:paraId="2089486F" w14:textId="1BE2C158"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3</w:t>
            </w:r>
          </w:p>
        </w:tc>
        <w:tc>
          <w:tcPr>
            <w:tcW w:w="956" w:type="dxa"/>
            <w:vAlign w:val="center"/>
          </w:tcPr>
          <w:p w14:paraId="4DAC9A92" w14:textId="7ED56E99"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 Tap</w:t>
            </w:r>
          </w:p>
        </w:tc>
        <w:tc>
          <w:tcPr>
            <w:tcW w:w="1250" w:type="dxa"/>
            <w:vAlign w:val="center"/>
          </w:tcPr>
          <w:p w14:paraId="71B2C17B" w14:textId="36260632"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Sub-band</w:t>
            </w:r>
          </w:p>
        </w:tc>
        <w:tc>
          <w:tcPr>
            <w:tcW w:w="1016" w:type="dxa"/>
            <w:vAlign w:val="center"/>
          </w:tcPr>
          <w:p w14:paraId="5B43268A" w14:textId="55A71F71"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16" w:type="dxa"/>
            <w:vAlign w:val="center"/>
          </w:tcPr>
          <w:p w14:paraId="3A2A6BB4" w14:textId="64AE2D3D"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Periodic</w:t>
            </w:r>
          </w:p>
        </w:tc>
      </w:tr>
      <w:tr w:rsidR="00F1582A" w14:paraId="7EA26602" w14:textId="77777777" w:rsidTr="002834CC">
        <w:trPr>
          <w:jc w:val="center"/>
        </w:trPr>
        <w:tc>
          <w:tcPr>
            <w:cnfStyle w:val="001000000000" w:firstRow="0" w:lastRow="0" w:firstColumn="1" w:lastColumn="0" w:oddVBand="0" w:evenVBand="0" w:oddHBand="0" w:evenHBand="0" w:firstRowFirstColumn="0" w:firstRowLastColumn="0" w:lastRowFirstColumn="0" w:lastRowLastColumn="0"/>
            <w:tcW w:w="1083" w:type="dxa"/>
            <w:vMerge w:val="restart"/>
            <w:textDirection w:val="btLr"/>
            <w:vAlign w:val="center"/>
          </w:tcPr>
          <w:p w14:paraId="574AB41E" w14:textId="4DB9D868" w:rsidR="00F1582A" w:rsidRDefault="00F1582A" w:rsidP="00523FB9">
            <w:pPr>
              <w:ind w:left="113" w:right="113"/>
              <w:jc w:val="center"/>
              <w:rPr>
                <w:lang w:eastAsia="ja-JP" w:bidi="hi-IN"/>
              </w:rPr>
            </w:pPr>
            <w:r>
              <w:rPr>
                <w:lang w:eastAsia="ja-JP" w:bidi="hi-IN"/>
              </w:rPr>
              <w:t>Radiated test cases</w:t>
            </w:r>
          </w:p>
        </w:tc>
        <w:tc>
          <w:tcPr>
            <w:tcW w:w="925" w:type="dxa"/>
            <w:vAlign w:val="center"/>
          </w:tcPr>
          <w:p w14:paraId="7980F3B4" w14:textId="18678AF6"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w:t>
            </w:r>
          </w:p>
        </w:tc>
        <w:tc>
          <w:tcPr>
            <w:tcW w:w="956" w:type="dxa"/>
            <w:vAlign w:val="center"/>
          </w:tcPr>
          <w:p w14:paraId="63124AB5" w14:textId="608B4E9E"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Static AWGN</w:t>
            </w:r>
          </w:p>
        </w:tc>
        <w:tc>
          <w:tcPr>
            <w:tcW w:w="1250" w:type="dxa"/>
            <w:vAlign w:val="center"/>
          </w:tcPr>
          <w:p w14:paraId="4FC8E795" w14:textId="5B53FFC7"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Wideband</w:t>
            </w:r>
          </w:p>
        </w:tc>
        <w:tc>
          <w:tcPr>
            <w:tcW w:w="1016" w:type="dxa"/>
            <w:vAlign w:val="center"/>
          </w:tcPr>
          <w:p w14:paraId="69691332" w14:textId="40886337"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Periodic</w:t>
            </w:r>
          </w:p>
        </w:tc>
        <w:tc>
          <w:tcPr>
            <w:tcW w:w="1016" w:type="dxa"/>
            <w:vAlign w:val="center"/>
          </w:tcPr>
          <w:p w14:paraId="7F125DB8" w14:textId="4B52FA5D" w:rsidR="00F1582A" w:rsidRDefault="00F1582A" w:rsidP="00523FB9">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Periodic</w:t>
            </w:r>
          </w:p>
        </w:tc>
      </w:tr>
      <w:tr w:rsidR="00F1582A" w14:paraId="4F1C7154" w14:textId="77777777" w:rsidTr="002834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tcPr>
          <w:p w14:paraId="7F59789B" w14:textId="77777777" w:rsidR="00F1582A" w:rsidRDefault="00F1582A" w:rsidP="00F1582A">
            <w:pPr>
              <w:rPr>
                <w:lang w:eastAsia="ja-JP" w:bidi="hi-IN"/>
              </w:rPr>
            </w:pPr>
          </w:p>
        </w:tc>
        <w:tc>
          <w:tcPr>
            <w:tcW w:w="925" w:type="dxa"/>
            <w:vAlign w:val="center"/>
          </w:tcPr>
          <w:p w14:paraId="373058D5" w14:textId="67ECB7F1"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c>
          <w:tcPr>
            <w:tcW w:w="956" w:type="dxa"/>
            <w:vAlign w:val="center"/>
          </w:tcPr>
          <w:p w14:paraId="54CCB1D4" w14:textId="5B934D9B"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Fading</w:t>
            </w:r>
          </w:p>
        </w:tc>
        <w:tc>
          <w:tcPr>
            <w:tcW w:w="1250" w:type="dxa"/>
            <w:vAlign w:val="center"/>
          </w:tcPr>
          <w:p w14:paraId="4BCEF2AC" w14:textId="3D150E59"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Wideband</w:t>
            </w:r>
          </w:p>
        </w:tc>
        <w:tc>
          <w:tcPr>
            <w:tcW w:w="1016" w:type="dxa"/>
            <w:vAlign w:val="center"/>
          </w:tcPr>
          <w:p w14:paraId="5D409676" w14:textId="6BD43A68"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16" w:type="dxa"/>
            <w:vAlign w:val="center"/>
          </w:tcPr>
          <w:p w14:paraId="11D90EE0" w14:textId="47D18BF6" w:rsidR="00F1582A" w:rsidRDefault="00F1582A" w:rsidP="00523FB9">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r>
    </w:tbl>
    <w:p w14:paraId="22A6BF38" w14:textId="6BBAD418" w:rsidR="00DC7A6D" w:rsidRDefault="00523FB9" w:rsidP="00523FB9">
      <w:pPr>
        <w:rPr>
          <w:lang w:eastAsia="ja-JP" w:bidi="hi-IN"/>
        </w:rPr>
      </w:pPr>
      <w:bookmarkStart w:id="4" w:name="_GoBack"/>
      <w:bookmarkEnd w:id="4"/>
      <w:r>
        <w:rPr>
          <w:lang w:eastAsia="ja-JP" w:bidi="hi-IN"/>
        </w:rPr>
        <w:t xml:space="preserve">There are three conducted CQI reporting test cases with two different test purposes. The first one is defined to </w:t>
      </w:r>
      <w:r w:rsidRPr="00523FB9">
        <w:rPr>
          <w:lang w:eastAsia="ja-JP" w:bidi="hi-IN"/>
        </w:rPr>
        <w:t>verify that the reported CQI values are in accordance with the CQI definition given in TS 38.214</w:t>
      </w:r>
      <w:r>
        <w:rPr>
          <w:lang w:eastAsia="ja-JP" w:bidi="hi-IN"/>
        </w:rPr>
        <w:t>. The other two tests are defined to verify that the UE is tracking the channel variations and selecting the largest transport format possible according to the prevailing channel state. For the second purpose there is a test case with 2 Tap propagation conditions and sub</w:t>
      </w:r>
      <w:r w:rsidR="00DC7A6D">
        <w:rPr>
          <w:lang w:eastAsia="ja-JP" w:bidi="hi-IN"/>
        </w:rPr>
        <w:t>-</w:t>
      </w:r>
      <w:r>
        <w:rPr>
          <w:lang w:eastAsia="ja-JP" w:bidi="hi-IN"/>
        </w:rPr>
        <w:t xml:space="preserve">band CQI granularity. This configuration is not typical for </w:t>
      </w:r>
      <w:r w:rsidR="00DC7A6D">
        <w:rPr>
          <w:lang w:eastAsia="ja-JP" w:bidi="hi-IN"/>
        </w:rPr>
        <w:t xml:space="preserve">backhaul link, hence we can skip such test case for IAB-MT node </w:t>
      </w:r>
      <w:r w:rsidR="00DC7A6D">
        <w:rPr>
          <w:lang w:eastAsia="ja-JP" w:bidi="hi-IN"/>
        </w:rPr>
        <w:lastRenderedPageBreak/>
        <w:t xml:space="preserve">performance verification. Further down-scoping is not possible </w:t>
      </w:r>
      <w:r w:rsidR="00040E3F">
        <w:rPr>
          <w:lang w:eastAsia="ja-JP" w:bidi="hi-IN"/>
        </w:rPr>
        <w:t>s</w:t>
      </w:r>
      <w:r w:rsidR="00DC7A6D">
        <w:rPr>
          <w:lang w:eastAsia="ja-JP" w:bidi="hi-IN"/>
        </w:rPr>
        <w:t>ince remaining two test cases are defined for different purposes.</w:t>
      </w:r>
    </w:p>
    <w:p w14:paraId="4FA334F1" w14:textId="369D22D9" w:rsidR="00BE24E4" w:rsidRDefault="00DC7A6D" w:rsidP="00523FB9">
      <w:pPr>
        <w:rPr>
          <w:lang w:eastAsia="ja-JP" w:bidi="hi-IN"/>
        </w:rPr>
      </w:pPr>
      <w:r>
        <w:rPr>
          <w:lang w:eastAsia="ja-JP" w:bidi="hi-IN"/>
        </w:rPr>
        <w:t>For radiated requirements there are in total only two test cases with different test purpose</w:t>
      </w:r>
      <w:r w:rsidR="00040E3F">
        <w:rPr>
          <w:lang w:eastAsia="ja-JP" w:bidi="hi-IN"/>
        </w:rPr>
        <w:t>s</w:t>
      </w:r>
      <w:r>
        <w:rPr>
          <w:lang w:eastAsia="ja-JP" w:bidi="hi-IN"/>
        </w:rPr>
        <w:t>. Even that for second test cases aperiodic report configuration and CSI-RS type is used, we should not ignore it. Otherwise we cannot guarantee proper CQI reporting.</w:t>
      </w:r>
    </w:p>
    <w:p w14:paraId="01C4754B" w14:textId="7307E5C0" w:rsidR="00DC7A6D" w:rsidRPr="005534AE" w:rsidRDefault="00DC7A6D" w:rsidP="00DC7A6D">
      <w:pPr>
        <w:tabs>
          <w:tab w:val="left" w:pos="1276"/>
        </w:tabs>
        <w:ind w:left="1276" w:hanging="1276"/>
        <w:rPr>
          <w:b/>
        </w:rPr>
      </w:pPr>
      <w:r w:rsidRPr="005534AE">
        <w:rPr>
          <w:b/>
        </w:rPr>
        <w:t>Proposal #</w:t>
      </w:r>
      <w:r w:rsidR="006E1592">
        <w:rPr>
          <w:b/>
        </w:rPr>
        <w:t>1</w:t>
      </w:r>
      <w:r w:rsidR="003823DF">
        <w:rPr>
          <w:b/>
        </w:rPr>
        <w:t>1</w:t>
      </w:r>
      <w:r w:rsidRPr="005534AE">
        <w:rPr>
          <w:b/>
        </w:rPr>
        <w:t xml:space="preserve">: </w:t>
      </w:r>
      <w:r w:rsidRPr="005534AE">
        <w:rPr>
          <w:b/>
        </w:rPr>
        <w:tab/>
      </w:r>
      <w:r>
        <w:rPr>
          <w:b/>
        </w:rPr>
        <w:t>Reuse all CQI reporting test cases which were defined for TDD duplex mode for 4 Rx conducted and 2 Rx radiated requirements except conducted test case with sub-band CQI reporting granularity.</w:t>
      </w:r>
    </w:p>
    <w:p w14:paraId="1DD54210" w14:textId="6DF4A62E" w:rsidR="004E61C0" w:rsidRDefault="004E61C0" w:rsidP="00BE24E4">
      <w:pPr>
        <w:rPr>
          <w:lang w:eastAsia="ja-JP" w:bidi="hi-IN"/>
        </w:rPr>
      </w:pPr>
    </w:p>
    <w:p w14:paraId="5D981AEF" w14:textId="49F3B0A3" w:rsidR="00F1582A" w:rsidRDefault="00DC7A6D" w:rsidP="00BE24E4">
      <w:pPr>
        <w:rPr>
          <w:lang w:eastAsia="ja-JP" w:bidi="hi-IN"/>
        </w:rPr>
      </w:pPr>
      <w:r>
        <w:rPr>
          <w:lang w:eastAsia="ja-JP" w:bidi="hi-IN"/>
        </w:rPr>
        <w:t>In Table 2 we summarize the conducted and radiated PMI reporting requirements for TDD 4 Rx and 2 Rx configurations respectively.</w:t>
      </w:r>
    </w:p>
    <w:p w14:paraId="7FAC7495" w14:textId="474A3C28" w:rsidR="00040E3F" w:rsidRDefault="00040E3F" w:rsidP="00040E3F">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B</w:t>
      </w:r>
      <w:r w:rsidRPr="00DC7A6D">
        <w:t xml:space="preserve">asis for IAB-MT </w:t>
      </w:r>
      <w:r>
        <w:t>PM</w:t>
      </w:r>
      <w:r w:rsidRPr="00DC7A6D">
        <w:t>I reporting requirement</w:t>
      </w:r>
      <w:r>
        <w:t>s introduction</w:t>
      </w:r>
    </w:p>
    <w:tbl>
      <w:tblPr>
        <w:tblStyle w:val="GridTable5Dark-Accent5"/>
        <w:tblW w:w="0" w:type="auto"/>
        <w:jc w:val="center"/>
        <w:tblLook w:val="04A0" w:firstRow="1" w:lastRow="0" w:firstColumn="1" w:lastColumn="0" w:noHBand="0" w:noVBand="1"/>
      </w:tblPr>
      <w:tblGrid>
        <w:gridCol w:w="1083"/>
        <w:gridCol w:w="925"/>
        <w:gridCol w:w="956"/>
        <w:gridCol w:w="1250"/>
        <w:gridCol w:w="1016"/>
        <w:gridCol w:w="1016"/>
        <w:gridCol w:w="1028"/>
        <w:gridCol w:w="1316"/>
      </w:tblGrid>
      <w:tr w:rsidR="00DC7A6D" w14:paraId="798F9BD5" w14:textId="2DD254A9" w:rsidTr="0085577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tcPr>
          <w:p w14:paraId="0085CB38" w14:textId="77777777" w:rsidR="00DC7A6D" w:rsidRDefault="00DC7A6D" w:rsidP="00271398">
            <w:pPr>
              <w:rPr>
                <w:lang w:eastAsia="ja-JP" w:bidi="hi-IN"/>
              </w:rPr>
            </w:pPr>
          </w:p>
        </w:tc>
        <w:tc>
          <w:tcPr>
            <w:tcW w:w="925" w:type="dxa"/>
            <w:vAlign w:val="center"/>
          </w:tcPr>
          <w:p w14:paraId="27D1C5D0" w14:textId="77777777" w:rsidR="00DC7A6D" w:rsidRDefault="00DC7A6D" w:rsidP="00271398">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Test case number</w:t>
            </w:r>
          </w:p>
        </w:tc>
        <w:tc>
          <w:tcPr>
            <w:tcW w:w="956" w:type="dxa"/>
            <w:vAlign w:val="center"/>
          </w:tcPr>
          <w:p w14:paraId="359E8552" w14:textId="77777777" w:rsidR="00DC7A6D" w:rsidRDefault="00DC7A6D" w:rsidP="00271398">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Channel model</w:t>
            </w:r>
          </w:p>
        </w:tc>
        <w:tc>
          <w:tcPr>
            <w:tcW w:w="1250" w:type="dxa"/>
            <w:vAlign w:val="center"/>
          </w:tcPr>
          <w:p w14:paraId="1D6D6814" w14:textId="77777777" w:rsidR="00DC7A6D" w:rsidRDefault="00DC7A6D" w:rsidP="00271398">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CQI Granularity</w:t>
            </w:r>
          </w:p>
        </w:tc>
        <w:tc>
          <w:tcPr>
            <w:tcW w:w="1016" w:type="dxa"/>
            <w:vAlign w:val="center"/>
          </w:tcPr>
          <w:p w14:paraId="093E9BCA" w14:textId="77777777" w:rsidR="00DC7A6D" w:rsidRDefault="00DC7A6D" w:rsidP="00271398">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Report config</w:t>
            </w:r>
          </w:p>
        </w:tc>
        <w:tc>
          <w:tcPr>
            <w:tcW w:w="1016" w:type="dxa"/>
            <w:vAlign w:val="center"/>
          </w:tcPr>
          <w:p w14:paraId="41EB43AA" w14:textId="77777777" w:rsidR="00DC7A6D" w:rsidRDefault="00DC7A6D" w:rsidP="00271398">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CSI-RS resource type</w:t>
            </w:r>
          </w:p>
        </w:tc>
        <w:tc>
          <w:tcPr>
            <w:tcW w:w="1028" w:type="dxa"/>
            <w:vAlign w:val="center"/>
          </w:tcPr>
          <w:p w14:paraId="7906A9BD" w14:textId="51B4AD2C" w:rsidR="00DC7A6D" w:rsidRDefault="00DC7A6D"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Number of Tx Antennas</w:t>
            </w:r>
          </w:p>
        </w:tc>
        <w:tc>
          <w:tcPr>
            <w:tcW w:w="1316" w:type="dxa"/>
            <w:vAlign w:val="center"/>
          </w:tcPr>
          <w:p w14:paraId="0FAAA968" w14:textId="2A9C20EB" w:rsidR="00DC7A6D" w:rsidRDefault="00DC7A6D"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CQI/PMI/RI Delay</w:t>
            </w:r>
          </w:p>
        </w:tc>
      </w:tr>
      <w:tr w:rsidR="00092806" w14:paraId="7B3A53C1" w14:textId="2131A412" w:rsidTr="0085577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val="restart"/>
            <w:textDirection w:val="btLr"/>
            <w:vAlign w:val="center"/>
          </w:tcPr>
          <w:p w14:paraId="155A3ABC" w14:textId="77777777" w:rsidR="00092806" w:rsidRDefault="00092806" w:rsidP="00092806">
            <w:pPr>
              <w:ind w:left="113" w:right="113"/>
              <w:jc w:val="center"/>
              <w:rPr>
                <w:lang w:eastAsia="ja-JP" w:bidi="hi-IN"/>
              </w:rPr>
            </w:pPr>
            <w:r>
              <w:rPr>
                <w:lang w:eastAsia="ja-JP" w:bidi="hi-IN"/>
              </w:rPr>
              <w:t>Conducted test cases</w:t>
            </w:r>
          </w:p>
        </w:tc>
        <w:tc>
          <w:tcPr>
            <w:tcW w:w="925" w:type="dxa"/>
          </w:tcPr>
          <w:p w14:paraId="418BF79E" w14:textId="5F970329"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956" w:type="dxa"/>
          </w:tcPr>
          <w:p w14:paraId="31A74084" w14:textId="0E1AD5FA"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Fading</w:t>
            </w:r>
          </w:p>
        </w:tc>
        <w:tc>
          <w:tcPr>
            <w:tcW w:w="1250" w:type="dxa"/>
          </w:tcPr>
          <w:p w14:paraId="7862D2CE" w14:textId="3B80D88D"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Wideband</w:t>
            </w:r>
          </w:p>
        </w:tc>
        <w:tc>
          <w:tcPr>
            <w:tcW w:w="1016" w:type="dxa"/>
          </w:tcPr>
          <w:p w14:paraId="023E144A" w14:textId="7E9BFD64"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16" w:type="dxa"/>
          </w:tcPr>
          <w:p w14:paraId="229CFA48" w14:textId="6F051A99"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28" w:type="dxa"/>
          </w:tcPr>
          <w:p w14:paraId="086FFD3E" w14:textId="31DA5D50"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4</w:t>
            </w:r>
          </w:p>
        </w:tc>
        <w:tc>
          <w:tcPr>
            <w:tcW w:w="1316" w:type="dxa"/>
          </w:tcPr>
          <w:p w14:paraId="4B52D790" w14:textId="213A981C"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5.5</w:t>
            </w:r>
          </w:p>
        </w:tc>
      </w:tr>
      <w:tr w:rsidR="00092806" w14:paraId="666B542E" w14:textId="44249750" w:rsidTr="00855774">
        <w:trPr>
          <w:jc w:val="center"/>
        </w:trPr>
        <w:tc>
          <w:tcPr>
            <w:cnfStyle w:val="001000000000" w:firstRow="0" w:lastRow="0" w:firstColumn="1" w:lastColumn="0" w:oddVBand="0" w:evenVBand="0" w:oddHBand="0" w:evenHBand="0" w:firstRowFirstColumn="0" w:firstRowLastColumn="0" w:lastRowFirstColumn="0" w:lastRowLastColumn="0"/>
            <w:tcW w:w="1083" w:type="dxa"/>
            <w:vMerge/>
            <w:textDirection w:val="btLr"/>
            <w:vAlign w:val="center"/>
          </w:tcPr>
          <w:p w14:paraId="07ABFB6B" w14:textId="77777777" w:rsidR="00092806" w:rsidRDefault="00092806" w:rsidP="00092806">
            <w:pPr>
              <w:ind w:left="113" w:right="113"/>
              <w:jc w:val="center"/>
              <w:rPr>
                <w:lang w:eastAsia="ja-JP" w:bidi="hi-IN"/>
              </w:rPr>
            </w:pPr>
          </w:p>
        </w:tc>
        <w:tc>
          <w:tcPr>
            <w:tcW w:w="925" w:type="dxa"/>
          </w:tcPr>
          <w:p w14:paraId="6BD8E55A" w14:textId="38A79F9E"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c>
          <w:tcPr>
            <w:tcW w:w="956" w:type="dxa"/>
          </w:tcPr>
          <w:p w14:paraId="7AE39159" w14:textId="3E8F4CEA"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Fading</w:t>
            </w:r>
          </w:p>
        </w:tc>
        <w:tc>
          <w:tcPr>
            <w:tcW w:w="1250" w:type="dxa"/>
          </w:tcPr>
          <w:p w14:paraId="074BF3A7" w14:textId="330D45BE"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Wideband</w:t>
            </w:r>
          </w:p>
        </w:tc>
        <w:tc>
          <w:tcPr>
            <w:tcW w:w="1016" w:type="dxa"/>
          </w:tcPr>
          <w:p w14:paraId="07CF0BF0" w14:textId="7565E1B9"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Aperiodic</w:t>
            </w:r>
          </w:p>
        </w:tc>
        <w:tc>
          <w:tcPr>
            <w:tcW w:w="1016" w:type="dxa"/>
          </w:tcPr>
          <w:p w14:paraId="2D09A77E" w14:textId="48C2FD18"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Aperiodic</w:t>
            </w:r>
          </w:p>
        </w:tc>
        <w:tc>
          <w:tcPr>
            <w:tcW w:w="1028" w:type="dxa"/>
          </w:tcPr>
          <w:p w14:paraId="4ACDB666" w14:textId="7B745B7B"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8</w:t>
            </w:r>
          </w:p>
        </w:tc>
        <w:tc>
          <w:tcPr>
            <w:tcW w:w="1316" w:type="dxa"/>
          </w:tcPr>
          <w:p w14:paraId="50DB34D4" w14:textId="39E66EC0"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6.5</w:t>
            </w:r>
          </w:p>
        </w:tc>
      </w:tr>
      <w:tr w:rsidR="00092806" w14:paraId="634F437A" w14:textId="048697B0" w:rsidTr="0085577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val="restart"/>
            <w:textDirection w:val="btLr"/>
            <w:vAlign w:val="center"/>
          </w:tcPr>
          <w:p w14:paraId="69325938" w14:textId="77777777" w:rsidR="00092806" w:rsidRDefault="00092806" w:rsidP="00092806">
            <w:pPr>
              <w:ind w:left="113" w:right="113"/>
              <w:jc w:val="center"/>
              <w:rPr>
                <w:lang w:eastAsia="ja-JP" w:bidi="hi-IN"/>
              </w:rPr>
            </w:pPr>
            <w:r>
              <w:rPr>
                <w:lang w:eastAsia="ja-JP" w:bidi="hi-IN"/>
              </w:rPr>
              <w:t>Radiated test cases</w:t>
            </w:r>
          </w:p>
        </w:tc>
        <w:tc>
          <w:tcPr>
            <w:tcW w:w="925" w:type="dxa"/>
          </w:tcPr>
          <w:p w14:paraId="4B95A8D6" w14:textId="3AB5A146"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956" w:type="dxa"/>
          </w:tcPr>
          <w:p w14:paraId="477AFE5F" w14:textId="36A12782"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Fading</w:t>
            </w:r>
          </w:p>
        </w:tc>
        <w:tc>
          <w:tcPr>
            <w:tcW w:w="1250" w:type="dxa"/>
          </w:tcPr>
          <w:p w14:paraId="547D5A2D" w14:textId="3B096EFA"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Wideband</w:t>
            </w:r>
          </w:p>
        </w:tc>
        <w:tc>
          <w:tcPr>
            <w:tcW w:w="1016" w:type="dxa"/>
          </w:tcPr>
          <w:p w14:paraId="67F95E1E" w14:textId="54D10B40"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16" w:type="dxa"/>
          </w:tcPr>
          <w:p w14:paraId="649C82B5" w14:textId="69B0EEDA"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28" w:type="dxa"/>
          </w:tcPr>
          <w:p w14:paraId="3A75F947" w14:textId="43C815B5"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c>
          <w:tcPr>
            <w:tcW w:w="1316" w:type="dxa"/>
          </w:tcPr>
          <w:p w14:paraId="5AE8F76D" w14:textId="6DF5ABE6"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1.375 ms</w:t>
            </w:r>
          </w:p>
        </w:tc>
      </w:tr>
      <w:tr w:rsidR="00092806" w14:paraId="43F75BF1" w14:textId="3668FA3F" w:rsidTr="00855774">
        <w:trPr>
          <w:jc w:val="center"/>
        </w:trPr>
        <w:tc>
          <w:tcPr>
            <w:cnfStyle w:val="001000000000" w:firstRow="0" w:lastRow="0" w:firstColumn="1" w:lastColumn="0" w:oddVBand="0" w:evenVBand="0" w:oddHBand="0" w:evenHBand="0" w:firstRowFirstColumn="0" w:firstRowLastColumn="0" w:lastRowFirstColumn="0" w:lastRowLastColumn="0"/>
            <w:tcW w:w="1083" w:type="dxa"/>
            <w:vMerge/>
          </w:tcPr>
          <w:p w14:paraId="72DC8479" w14:textId="77777777" w:rsidR="00092806" w:rsidRDefault="00092806" w:rsidP="00092806">
            <w:pPr>
              <w:rPr>
                <w:lang w:eastAsia="ja-JP" w:bidi="hi-IN"/>
              </w:rPr>
            </w:pPr>
          </w:p>
        </w:tc>
        <w:tc>
          <w:tcPr>
            <w:tcW w:w="925" w:type="dxa"/>
          </w:tcPr>
          <w:p w14:paraId="10D2F80B" w14:textId="4FBEB309"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c>
          <w:tcPr>
            <w:tcW w:w="956" w:type="dxa"/>
          </w:tcPr>
          <w:p w14:paraId="088268A2" w14:textId="7F736CEB"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Fading</w:t>
            </w:r>
          </w:p>
        </w:tc>
        <w:tc>
          <w:tcPr>
            <w:tcW w:w="1250" w:type="dxa"/>
          </w:tcPr>
          <w:p w14:paraId="0DF4CFE5" w14:textId="7DBCDC49"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Wideband</w:t>
            </w:r>
          </w:p>
        </w:tc>
        <w:tc>
          <w:tcPr>
            <w:tcW w:w="1016" w:type="dxa"/>
          </w:tcPr>
          <w:p w14:paraId="03D82AC9" w14:textId="4A3E2D67"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Aperiodic</w:t>
            </w:r>
          </w:p>
        </w:tc>
        <w:tc>
          <w:tcPr>
            <w:tcW w:w="1016" w:type="dxa"/>
          </w:tcPr>
          <w:p w14:paraId="16EE030A" w14:textId="6BDEB3EA"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Aperiodic</w:t>
            </w:r>
          </w:p>
        </w:tc>
        <w:tc>
          <w:tcPr>
            <w:tcW w:w="1028" w:type="dxa"/>
          </w:tcPr>
          <w:p w14:paraId="74552112" w14:textId="59A9064D"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c>
          <w:tcPr>
            <w:tcW w:w="1316" w:type="dxa"/>
          </w:tcPr>
          <w:p w14:paraId="00E295BF" w14:textId="4463A033"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1.75 ms</w:t>
            </w:r>
          </w:p>
        </w:tc>
      </w:tr>
    </w:tbl>
    <w:p w14:paraId="0650871D" w14:textId="5FA0DC92" w:rsidR="004E61C0" w:rsidRDefault="00855774" w:rsidP="00BE24E4">
      <w:pPr>
        <w:rPr>
          <w:lang w:eastAsia="ja-JP" w:bidi="hi-IN"/>
        </w:rPr>
      </w:pPr>
      <w:r>
        <w:rPr>
          <w:lang w:eastAsia="ja-JP" w:bidi="hi-IN"/>
        </w:rPr>
        <w:t>Only aperiodic report configuration and CSI-RS resource type are used in PMI reporting requirements. In this case we cannot simply ignore test cases with aperiodic configurations even if we assume that for stable backhaul links such configuration is not typical. One alternative option is to change configurations to periodic case. In our understanding it will not change requirements</w:t>
      </w:r>
      <w:r w:rsidR="00F13B4E">
        <w:rPr>
          <w:lang w:eastAsia="ja-JP" w:bidi="hi-IN"/>
        </w:rPr>
        <w:t xml:space="preserve"> and only affect</w:t>
      </w:r>
      <w:r w:rsidR="00C67FA0">
        <w:rPr>
          <w:lang w:eastAsia="ja-JP" w:bidi="hi-IN"/>
        </w:rPr>
        <w:t>s</w:t>
      </w:r>
      <w:r>
        <w:rPr>
          <w:lang w:eastAsia="ja-JP" w:bidi="hi-IN"/>
        </w:rPr>
        <w:t xml:space="preserve"> test configuration. </w:t>
      </w:r>
    </w:p>
    <w:p w14:paraId="2B8BB42B" w14:textId="28E62E2C" w:rsidR="004E4D2B" w:rsidRPr="005534AE" w:rsidRDefault="004E4D2B" w:rsidP="004E4D2B">
      <w:pPr>
        <w:tabs>
          <w:tab w:val="left" w:pos="1276"/>
        </w:tabs>
        <w:ind w:left="1276" w:hanging="1276"/>
        <w:rPr>
          <w:b/>
        </w:rPr>
      </w:pPr>
      <w:r w:rsidRPr="005534AE">
        <w:rPr>
          <w:b/>
        </w:rPr>
        <w:t>Proposal #</w:t>
      </w:r>
      <w:r w:rsidR="006E1592">
        <w:rPr>
          <w:b/>
        </w:rPr>
        <w:t>1</w:t>
      </w:r>
      <w:r w:rsidR="003823DF">
        <w:rPr>
          <w:b/>
        </w:rPr>
        <w:t>2</w:t>
      </w:r>
      <w:r w:rsidRPr="005534AE">
        <w:rPr>
          <w:b/>
        </w:rPr>
        <w:t xml:space="preserve">: </w:t>
      </w:r>
      <w:r w:rsidRPr="005534AE">
        <w:rPr>
          <w:b/>
        </w:rPr>
        <w:tab/>
      </w:r>
      <w:r>
        <w:rPr>
          <w:b/>
        </w:rPr>
        <w:t>Reuse all PMI reporting test cases which were defined for TDD duplex mode for 4 Rx conducted and 2 Rx radiated requirements but change report configuration and CSI-RS resource type from aperiodic to periodic.</w:t>
      </w:r>
    </w:p>
    <w:p w14:paraId="075AD002" w14:textId="77777777" w:rsidR="00092806" w:rsidRDefault="00092806" w:rsidP="00BE24E4">
      <w:pPr>
        <w:rPr>
          <w:lang w:eastAsia="ja-JP" w:bidi="hi-IN"/>
        </w:rPr>
      </w:pPr>
    </w:p>
    <w:p w14:paraId="16E54A55" w14:textId="1DA49C68" w:rsidR="00092806" w:rsidRDefault="00092806" w:rsidP="00092806">
      <w:pPr>
        <w:rPr>
          <w:lang w:eastAsia="ja-JP" w:bidi="hi-IN"/>
        </w:rPr>
      </w:pPr>
      <w:r>
        <w:rPr>
          <w:lang w:eastAsia="ja-JP" w:bidi="hi-IN"/>
        </w:rPr>
        <w:t>In Table 3 we summarize the conducted and radiated RI reporting requirements for TDD 4 Rx and 2 Rx configurations respectively.</w:t>
      </w:r>
    </w:p>
    <w:p w14:paraId="00BF0DDA" w14:textId="6D0198F8" w:rsidR="00040E3F" w:rsidRDefault="00040E3F" w:rsidP="00040E3F">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0541F8">
        <w:t xml:space="preserve">Basis for IAB-MT </w:t>
      </w:r>
      <w:r>
        <w:t>R</w:t>
      </w:r>
      <w:r w:rsidRPr="000541F8">
        <w:t>I reporting requirements introduction</w:t>
      </w:r>
    </w:p>
    <w:tbl>
      <w:tblPr>
        <w:tblStyle w:val="GridTable5Dark-Accent5"/>
        <w:tblW w:w="0" w:type="auto"/>
        <w:jc w:val="center"/>
        <w:tblLook w:val="04A0" w:firstRow="1" w:lastRow="0" w:firstColumn="1" w:lastColumn="0" w:noHBand="0" w:noVBand="1"/>
      </w:tblPr>
      <w:tblGrid>
        <w:gridCol w:w="1083"/>
        <w:gridCol w:w="925"/>
        <w:gridCol w:w="956"/>
        <w:gridCol w:w="1250"/>
        <w:gridCol w:w="1016"/>
        <w:gridCol w:w="1016"/>
        <w:gridCol w:w="1372"/>
        <w:gridCol w:w="1316"/>
      </w:tblGrid>
      <w:tr w:rsidR="00092806" w14:paraId="6483548D" w14:textId="77777777" w:rsidTr="00040E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tcPr>
          <w:p w14:paraId="52041448" w14:textId="77777777" w:rsidR="00092806" w:rsidRDefault="00092806" w:rsidP="00092806">
            <w:pPr>
              <w:rPr>
                <w:lang w:eastAsia="ja-JP" w:bidi="hi-IN"/>
              </w:rPr>
            </w:pPr>
          </w:p>
        </w:tc>
        <w:tc>
          <w:tcPr>
            <w:tcW w:w="925" w:type="dxa"/>
            <w:vAlign w:val="center"/>
          </w:tcPr>
          <w:p w14:paraId="018AEE12" w14:textId="77777777"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Test case number</w:t>
            </w:r>
          </w:p>
        </w:tc>
        <w:tc>
          <w:tcPr>
            <w:tcW w:w="956" w:type="dxa"/>
            <w:vAlign w:val="center"/>
          </w:tcPr>
          <w:p w14:paraId="49DBC8D5" w14:textId="77777777"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Channel model</w:t>
            </w:r>
          </w:p>
        </w:tc>
        <w:tc>
          <w:tcPr>
            <w:tcW w:w="1250" w:type="dxa"/>
            <w:vAlign w:val="center"/>
          </w:tcPr>
          <w:p w14:paraId="271C7832" w14:textId="0E171A32"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CQI Granularity</w:t>
            </w:r>
          </w:p>
        </w:tc>
        <w:tc>
          <w:tcPr>
            <w:tcW w:w="1016" w:type="dxa"/>
            <w:vAlign w:val="center"/>
          </w:tcPr>
          <w:p w14:paraId="19756779" w14:textId="496E4A12"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Report config</w:t>
            </w:r>
          </w:p>
        </w:tc>
        <w:tc>
          <w:tcPr>
            <w:tcW w:w="1016" w:type="dxa"/>
            <w:vAlign w:val="center"/>
          </w:tcPr>
          <w:p w14:paraId="480F3FFC" w14:textId="77777777"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CSI-RS resource type</w:t>
            </w:r>
          </w:p>
        </w:tc>
        <w:tc>
          <w:tcPr>
            <w:tcW w:w="1372" w:type="dxa"/>
            <w:vAlign w:val="center"/>
          </w:tcPr>
          <w:p w14:paraId="0C1674C7" w14:textId="4E72C27E"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Antenna configuration</w:t>
            </w:r>
          </w:p>
        </w:tc>
        <w:tc>
          <w:tcPr>
            <w:tcW w:w="1316" w:type="dxa"/>
            <w:vAlign w:val="center"/>
          </w:tcPr>
          <w:p w14:paraId="548A9BAE" w14:textId="38ED0ECA" w:rsidR="00092806" w:rsidRDefault="00092806" w:rsidP="00092806">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Fixed Rank</w:t>
            </w:r>
          </w:p>
        </w:tc>
      </w:tr>
      <w:tr w:rsidR="00092806" w14:paraId="7EEB8E7B" w14:textId="77777777" w:rsidTr="00040E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val="restart"/>
            <w:textDirection w:val="btLr"/>
            <w:vAlign w:val="center"/>
          </w:tcPr>
          <w:p w14:paraId="1D4F861B" w14:textId="77777777" w:rsidR="00092806" w:rsidRDefault="00092806" w:rsidP="00092806">
            <w:pPr>
              <w:ind w:left="113" w:right="113"/>
              <w:jc w:val="center"/>
              <w:rPr>
                <w:lang w:eastAsia="ja-JP" w:bidi="hi-IN"/>
              </w:rPr>
            </w:pPr>
            <w:r>
              <w:rPr>
                <w:lang w:eastAsia="ja-JP" w:bidi="hi-IN"/>
              </w:rPr>
              <w:t>Conducted test cases</w:t>
            </w:r>
          </w:p>
        </w:tc>
        <w:tc>
          <w:tcPr>
            <w:tcW w:w="925" w:type="dxa"/>
          </w:tcPr>
          <w:p w14:paraId="0ED88E55" w14:textId="4EDCAA31"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1</w:t>
            </w:r>
          </w:p>
        </w:tc>
        <w:tc>
          <w:tcPr>
            <w:tcW w:w="956" w:type="dxa"/>
          </w:tcPr>
          <w:p w14:paraId="24D90229" w14:textId="1BD528A2"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Fading</w:t>
            </w:r>
          </w:p>
        </w:tc>
        <w:tc>
          <w:tcPr>
            <w:tcW w:w="1250" w:type="dxa"/>
          </w:tcPr>
          <w:p w14:paraId="360C03B6" w14:textId="2754ACB5" w:rsidR="00092806" w:rsidRPr="00961C76" w:rsidRDefault="00092806" w:rsidP="00092806">
            <w:pPr>
              <w:jc w:val="center"/>
              <w:cnfStyle w:val="000000100000" w:firstRow="0" w:lastRow="0" w:firstColumn="0" w:lastColumn="0" w:oddVBand="0" w:evenVBand="0" w:oddHBand="1" w:evenHBand="0" w:firstRowFirstColumn="0" w:firstRowLastColumn="0" w:lastRowFirstColumn="0" w:lastRowLastColumn="0"/>
            </w:pPr>
            <w:r>
              <w:rPr>
                <w:lang w:eastAsia="ja-JP" w:bidi="hi-IN"/>
              </w:rPr>
              <w:t>Wideband</w:t>
            </w:r>
          </w:p>
        </w:tc>
        <w:tc>
          <w:tcPr>
            <w:tcW w:w="1016" w:type="dxa"/>
          </w:tcPr>
          <w:p w14:paraId="63698F72" w14:textId="0A3BDFF9"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Periodic</w:t>
            </w:r>
          </w:p>
        </w:tc>
        <w:tc>
          <w:tcPr>
            <w:tcW w:w="1016" w:type="dxa"/>
          </w:tcPr>
          <w:p w14:paraId="63B0E805" w14:textId="1E4741A6"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Periodic</w:t>
            </w:r>
          </w:p>
        </w:tc>
        <w:tc>
          <w:tcPr>
            <w:tcW w:w="1372" w:type="dxa"/>
          </w:tcPr>
          <w:p w14:paraId="14C1FF54" w14:textId="6EB9F5FC"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2x4 Low</w:t>
            </w:r>
          </w:p>
        </w:tc>
        <w:tc>
          <w:tcPr>
            <w:tcW w:w="1316" w:type="dxa"/>
          </w:tcPr>
          <w:p w14:paraId="716D087D" w14:textId="094C78A3"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2</w:t>
            </w:r>
          </w:p>
        </w:tc>
      </w:tr>
      <w:tr w:rsidR="00092806" w14:paraId="2CBF9C5D" w14:textId="77777777" w:rsidTr="00040E3F">
        <w:trPr>
          <w:jc w:val="center"/>
        </w:trPr>
        <w:tc>
          <w:tcPr>
            <w:cnfStyle w:val="001000000000" w:firstRow="0" w:lastRow="0" w:firstColumn="1" w:lastColumn="0" w:oddVBand="0" w:evenVBand="0" w:oddHBand="0" w:evenHBand="0" w:firstRowFirstColumn="0" w:firstRowLastColumn="0" w:lastRowFirstColumn="0" w:lastRowLastColumn="0"/>
            <w:tcW w:w="1083" w:type="dxa"/>
            <w:vMerge/>
            <w:textDirection w:val="btLr"/>
            <w:vAlign w:val="center"/>
          </w:tcPr>
          <w:p w14:paraId="2DC5F441" w14:textId="77777777" w:rsidR="00092806" w:rsidRDefault="00092806" w:rsidP="00092806">
            <w:pPr>
              <w:ind w:left="113" w:right="113"/>
              <w:jc w:val="center"/>
              <w:rPr>
                <w:lang w:eastAsia="ja-JP" w:bidi="hi-IN"/>
              </w:rPr>
            </w:pPr>
          </w:p>
        </w:tc>
        <w:tc>
          <w:tcPr>
            <w:tcW w:w="925" w:type="dxa"/>
          </w:tcPr>
          <w:p w14:paraId="1E3826ED" w14:textId="45312286"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2</w:t>
            </w:r>
          </w:p>
        </w:tc>
        <w:tc>
          <w:tcPr>
            <w:tcW w:w="956" w:type="dxa"/>
          </w:tcPr>
          <w:p w14:paraId="6B3A063F" w14:textId="500AB425"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Fading</w:t>
            </w:r>
          </w:p>
        </w:tc>
        <w:tc>
          <w:tcPr>
            <w:tcW w:w="1250" w:type="dxa"/>
          </w:tcPr>
          <w:p w14:paraId="77E1A839" w14:textId="76726C99" w:rsidR="00092806" w:rsidRPr="00961C76" w:rsidRDefault="00092806" w:rsidP="00092806">
            <w:pPr>
              <w:jc w:val="center"/>
              <w:cnfStyle w:val="000000000000" w:firstRow="0" w:lastRow="0" w:firstColumn="0" w:lastColumn="0" w:oddVBand="0" w:evenVBand="0" w:oddHBand="0" w:evenHBand="0" w:firstRowFirstColumn="0" w:firstRowLastColumn="0" w:lastRowFirstColumn="0" w:lastRowLastColumn="0"/>
            </w:pPr>
            <w:r>
              <w:rPr>
                <w:lang w:eastAsia="ja-JP" w:bidi="hi-IN"/>
              </w:rPr>
              <w:t>Wideband</w:t>
            </w:r>
          </w:p>
        </w:tc>
        <w:tc>
          <w:tcPr>
            <w:tcW w:w="1016" w:type="dxa"/>
          </w:tcPr>
          <w:p w14:paraId="44A72D62" w14:textId="05F73610"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Periodic</w:t>
            </w:r>
          </w:p>
        </w:tc>
        <w:tc>
          <w:tcPr>
            <w:tcW w:w="1016" w:type="dxa"/>
          </w:tcPr>
          <w:p w14:paraId="5C84E12A" w14:textId="4F4832ED"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Periodic</w:t>
            </w:r>
          </w:p>
        </w:tc>
        <w:tc>
          <w:tcPr>
            <w:tcW w:w="1372" w:type="dxa"/>
          </w:tcPr>
          <w:p w14:paraId="70BEFCEB" w14:textId="0793AC8C"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2x4 Low</w:t>
            </w:r>
          </w:p>
        </w:tc>
        <w:tc>
          <w:tcPr>
            <w:tcW w:w="1316" w:type="dxa"/>
          </w:tcPr>
          <w:p w14:paraId="69F9BC74" w14:textId="4500A0EE"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1</w:t>
            </w:r>
          </w:p>
        </w:tc>
      </w:tr>
      <w:tr w:rsidR="00092806" w14:paraId="11233513" w14:textId="77777777" w:rsidTr="00040E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textDirection w:val="btLr"/>
            <w:vAlign w:val="center"/>
          </w:tcPr>
          <w:p w14:paraId="097E9F7B" w14:textId="77777777" w:rsidR="00092806" w:rsidRDefault="00092806" w:rsidP="00092806">
            <w:pPr>
              <w:ind w:left="113" w:right="113"/>
              <w:jc w:val="center"/>
              <w:rPr>
                <w:lang w:eastAsia="ja-JP" w:bidi="hi-IN"/>
              </w:rPr>
            </w:pPr>
          </w:p>
        </w:tc>
        <w:tc>
          <w:tcPr>
            <w:tcW w:w="925" w:type="dxa"/>
          </w:tcPr>
          <w:p w14:paraId="59B8D63F" w14:textId="442A99CF"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3</w:t>
            </w:r>
          </w:p>
        </w:tc>
        <w:tc>
          <w:tcPr>
            <w:tcW w:w="956" w:type="dxa"/>
          </w:tcPr>
          <w:p w14:paraId="2300214E" w14:textId="315B81C0"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Fading</w:t>
            </w:r>
          </w:p>
        </w:tc>
        <w:tc>
          <w:tcPr>
            <w:tcW w:w="1250" w:type="dxa"/>
          </w:tcPr>
          <w:p w14:paraId="374BF407" w14:textId="1EBD2969" w:rsidR="00092806" w:rsidRPr="00961C76" w:rsidRDefault="00092806" w:rsidP="00092806">
            <w:pPr>
              <w:jc w:val="center"/>
              <w:cnfStyle w:val="000000100000" w:firstRow="0" w:lastRow="0" w:firstColumn="0" w:lastColumn="0" w:oddVBand="0" w:evenVBand="0" w:oddHBand="1" w:evenHBand="0" w:firstRowFirstColumn="0" w:firstRowLastColumn="0" w:lastRowFirstColumn="0" w:lastRowLastColumn="0"/>
            </w:pPr>
            <w:r>
              <w:rPr>
                <w:lang w:eastAsia="ja-JP" w:bidi="hi-IN"/>
              </w:rPr>
              <w:t>Wideband</w:t>
            </w:r>
          </w:p>
        </w:tc>
        <w:tc>
          <w:tcPr>
            <w:tcW w:w="1016" w:type="dxa"/>
          </w:tcPr>
          <w:p w14:paraId="464A650D" w14:textId="26FF9D8D"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Periodic</w:t>
            </w:r>
          </w:p>
        </w:tc>
        <w:tc>
          <w:tcPr>
            <w:tcW w:w="1016" w:type="dxa"/>
          </w:tcPr>
          <w:p w14:paraId="2F1379BE" w14:textId="3519BCB8"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Periodic</w:t>
            </w:r>
          </w:p>
        </w:tc>
        <w:tc>
          <w:tcPr>
            <w:tcW w:w="1372" w:type="dxa"/>
          </w:tcPr>
          <w:p w14:paraId="19323595" w14:textId="3769A4E7"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2x4 High</w:t>
            </w:r>
          </w:p>
        </w:tc>
        <w:tc>
          <w:tcPr>
            <w:tcW w:w="1316" w:type="dxa"/>
          </w:tcPr>
          <w:p w14:paraId="363E5A83" w14:textId="6AE80563"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961C76">
              <w:t>1</w:t>
            </w:r>
          </w:p>
        </w:tc>
      </w:tr>
      <w:tr w:rsidR="00092806" w14:paraId="3D124BE1" w14:textId="77777777" w:rsidTr="00040E3F">
        <w:trPr>
          <w:jc w:val="center"/>
        </w:trPr>
        <w:tc>
          <w:tcPr>
            <w:cnfStyle w:val="001000000000" w:firstRow="0" w:lastRow="0" w:firstColumn="1" w:lastColumn="0" w:oddVBand="0" w:evenVBand="0" w:oddHBand="0" w:evenHBand="0" w:firstRowFirstColumn="0" w:firstRowLastColumn="0" w:lastRowFirstColumn="0" w:lastRowLastColumn="0"/>
            <w:tcW w:w="1083" w:type="dxa"/>
            <w:vMerge/>
            <w:textDirection w:val="btLr"/>
            <w:vAlign w:val="center"/>
          </w:tcPr>
          <w:p w14:paraId="0EB7D972" w14:textId="77777777" w:rsidR="00092806" w:rsidRDefault="00092806" w:rsidP="00092806">
            <w:pPr>
              <w:ind w:left="113" w:right="113"/>
              <w:jc w:val="center"/>
              <w:rPr>
                <w:lang w:eastAsia="ja-JP" w:bidi="hi-IN"/>
              </w:rPr>
            </w:pPr>
          </w:p>
        </w:tc>
        <w:tc>
          <w:tcPr>
            <w:tcW w:w="925" w:type="dxa"/>
          </w:tcPr>
          <w:p w14:paraId="3E1D9F17" w14:textId="62238E24"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4</w:t>
            </w:r>
          </w:p>
        </w:tc>
        <w:tc>
          <w:tcPr>
            <w:tcW w:w="956" w:type="dxa"/>
          </w:tcPr>
          <w:p w14:paraId="116D036F" w14:textId="0910D991"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Fading</w:t>
            </w:r>
          </w:p>
        </w:tc>
        <w:tc>
          <w:tcPr>
            <w:tcW w:w="1250" w:type="dxa"/>
          </w:tcPr>
          <w:p w14:paraId="089708D7" w14:textId="59EA767D" w:rsidR="00092806" w:rsidRPr="00961C76" w:rsidRDefault="00092806" w:rsidP="00092806">
            <w:pPr>
              <w:jc w:val="center"/>
              <w:cnfStyle w:val="000000000000" w:firstRow="0" w:lastRow="0" w:firstColumn="0" w:lastColumn="0" w:oddVBand="0" w:evenVBand="0" w:oddHBand="0" w:evenHBand="0" w:firstRowFirstColumn="0" w:firstRowLastColumn="0" w:lastRowFirstColumn="0" w:lastRowLastColumn="0"/>
            </w:pPr>
            <w:r>
              <w:rPr>
                <w:lang w:eastAsia="ja-JP" w:bidi="hi-IN"/>
              </w:rPr>
              <w:t>Wideband</w:t>
            </w:r>
          </w:p>
        </w:tc>
        <w:tc>
          <w:tcPr>
            <w:tcW w:w="1016" w:type="dxa"/>
          </w:tcPr>
          <w:p w14:paraId="37CC744C" w14:textId="77DD8728"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Periodic</w:t>
            </w:r>
          </w:p>
        </w:tc>
        <w:tc>
          <w:tcPr>
            <w:tcW w:w="1016" w:type="dxa"/>
          </w:tcPr>
          <w:p w14:paraId="399667BE" w14:textId="089FDD9C"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Periodic</w:t>
            </w:r>
          </w:p>
        </w:tc>
        <w:tc>
          <w:tcPr>
            <w:tcW w:w="1372" w:type="dxa"/>
          </w:tcPr>
          <w:p w14:paraId="5A16BF96" w14:textId="780568C2"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4x4 Low</w:t>
            </w:r>
          </w:p>
        </w:tc>
        <w:tc>
          <w:tcPr>
            <w:tcW w:w="1316" w:type="dxa"/>
          </w:tcPr>
          <w:p w14:paraId="35C0B5FC" w14:textId="0290D86F"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961C76">
              <w:t>2</w:t>
            </w:r>
          </w:p>
        </w:tc>
      </w:tr>
      <w:tr w:rsidR="00092806" w14:paraId="10F3038D" w14:textId="77777777" w:rsidTr="00040E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val="restart"/>
            <w:textDirection w:val="btLr"/>
            <w:vAlign w:val="center"/>
          </w:tcPr>
          <w:p w14:paraId="4DDE56AE" w14:textId="77777777" w:rsidR="00092806" w:rsidRDefault="00092806" w:rsidP="00092806">
            <w:pPr>
              <w:ind w:left="113" w:right="113"/>
              <w:jc w:val="center"/>
              <w:rPr>
                <w:lang w:eastAsia="ja-JP" w:bidi="hi-IN"/>
              </w:rPr>
            </w:pPr>
            <w:r>
              <w:rPr>
                <w:lang w:eastAsia="ja-JP" w:bidi="hi-IN"/>
              </w:rPr>
              <w:t>Radiated test cases</w:t>
            </w:r>
          </w:p>
        </w:tc>
        <w:tc>
          <w:tcPr>
            <w:tcW w:w="925" w:type="dxa"/>
          </w:tcPr>
          <w:p w14:paraId="65B02235" w14:textId="01FB4453"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c>
          <w:tcPr>
            <w:tcW w:w="956" w:type="dxa"/>
          </w:tcPr>
          <w:p w14:paraId="311D32A8" w14:textId="7C173496"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Fading</w:t>
            </w:r>
          </w:p>
        </w:tc>
        <w:tc>
          <w:tcPr>
            <w:tcW w:w="1250" w:type="dxa"/>
          </w:tcPr>
          <w:p w14:paraId="5A94E6AA" w14:textId="1E6F2D9E"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Wideband</w:t>
            </w:r>
          </w:p>
        </w:tc>
        <w:tc>
          <w:tcPr>
            <w:tcW w:w="1016" w:type="dxa"/>
          </w:tcPr>
          <w:p w14:paraId="06CA42EE" w14:textId="253AC499"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16" w:type="dxa"/>
          </w:tcPr>
          <w:p w14:paraId="187669C6" w14:textId="3BFA7B4F"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372" w:type="dxa"/>
          </w:tcPr>
          <w:p w14:paraId="11C48515" w14:textId="686DAEE3"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2x2 Low</w:t>
            </w:r>
          </w:p>
        </w:tc>
        <w:tc>
          <w:tcPr>
            <w:tcW w:w="1316" w:type="dxa"/>
          </w:tcPr>
          <w:p w14:paraId="3B323A4A" w14:textId="3C362886"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092806" w14:paraId="5935F709" w14:textId="77777777" w:rsidTr="00040E3F">
        <w:trPr>
          <w:jc w:val="center"/>
        </w:trPr>
        <w:tc>
          <w:tcPr>
            <w:cnfStyle w:val="001000000000" w:firstRow="0" w:lastRow="0" w:firstColumn="1" w:lastColumn="0" w:oddVBand="0" w:evenVBand="0" w:oddHBand="0" w:evenHBand="0" w:firstRowFirstColumn="0" w:firstRowLastColumn="0" w:lastRowFirstColumn="0" w:lastRowLastColumn="0"/>
            <w:tcW w:w="1083" w:type="dxa"/>
            <w:vMerge/>
          </w:tcPr>
          <w:p w14:paraId="55DBE375" w14:textId="77777777" w:rsidR="00092806" w:rsidRDefault="00092806" w:rsidP="00092806">
            <w:pPr>
              <w:rPr>
                <w:lang w:eastAsia="ja-JP" w:bidi="hi-IN"/>
              </w:rPr>
            </w:pPr>
          </w:p>
        </w:tc>
        <w:tc>
          <w:tcPr>
            <w:tcW w:w="925" w:type="dxa"/>
          </w:tcPr>
          <w:p w14:paraId="6FB1D1EC" w14:textId="7092FF5A"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c>
          <w:tcPr>
            <w:tcW w:w="956" w:type="dxa"/>
          </w:tcPr>
          <w:p w14:paraId="13CF4372" w14:textId="0B2E9FF6"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Fading</w:t>
            </w:r>
          </w:p>
        </w:tc>
        <w:tc>
          <w:tcPr>
            <w:tcW w:w="1250" w:type="dxa"/>
          </w:tcPr>
          <w:p w14:paraId="51D01CF5" w14:textId="2A35C770"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Wideband</w:t>
            </w:r>
          </w:p>
        </w:tc>
        <w:tc>
          <w:tcPr>
            <w:tcW w:w="1016" w:type="dxa"/>
          </w:tcPr>
          <w:p w14:paraId="737B161D" w14:textId="1D61F3BB"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Aperiodic</w:t>
            </w:r>
          </w:p>
        </w:tc>
        <w:tc>
          <w:tcPr>
            <w:tcW w:w="1016" w:type="dxa"/>
          </w:tcPr>
          <w:p w14:paraId="540C47E7" w14:textId="25628287"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Aperiodic</w:t>
            </w:r>
          </w:p>
        </w:tc>
        <w:tc>
          <w:tcPr>
            <w:tcW w:w="1372" w:type="dxa"/>
          </w:tcPr>
          <w:p w14:paraId="762F3C03" w14:textId="6D07D91D"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2x2 Low</w:t>
            </w:r>
          </w:p>
        </w:tc>
        <w:tc>
          <w:tcPr>
            <w:tcW w:w="1316" w:type="dxa"/>
          </w:tcPr>
          <w:p w14:paraId="0D1E29CB" w14:textId="4ECAF584" w:rsidR="00092806" w:rsidRDefault="00092806" w:rsidP="0009280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w:t>
            </w:r>
          </w:p>
        </w:tc>
      </w:tr>
      <w:tr w:rsidR="00092806" w14:paraId="09C07EDA" w14:textId="77777777" w:rsidTr="00040E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3" w:type="dxa"/>
            <w:vMerge/>
          </w:tcPr>
          <w:p w14:paraId="63F8FCEF" w14:textId="77777777" w:rsidR="00092806" w:rsidRDefault="00092806" w:rsidP="00092806">
            <w:pPr>
              <w:rPr>
                <w:lang w:eastAsia="ja-JP" w:bidi="hi-IN"/>
              </w:rPr>
            </w:pPr>
          </w:p>
        </w:tc>
        <w:tc>
          <w:tcPr>
            <w:tcW w:w="925" w:type="dxa"/>
          </w:tcPr>
          <w:p w14:paraId="620C36A9" w14:textId="5B39A5B7"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3</w:t>
            </w:r>
          </w:p>
        </w:tc>
        <w:tc>
          <w:tcPr>
            <w:tcW w:w="956" w:type="dxa"/>
          </w:tcPr>
          <w:p w14:paraId="0999E96F" w14:textId="4D973260"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Fading</w:t>
            </w:r>
          </w:p>
        </w:tc>
        <w:tc>
          <w:tcPr>
            <w:tcW w:w="1250" w:type="dxa"/>
          </w:tcPr>
          <w:p w14:paraId="1C94FCA9" w14:textId="6C30E0A3"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Wideband</w:t>
            </w:r>
          </w:p>
        </w:tc>
        <w:tc>
          <w:tcPr>
            <w:tcW w:w="1016" w:type="dxa"/>
          </w:tcPr>
          <w:p w14:paraId="709CFA59" w14:textId="37F3BC8B"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016" w:type="dxa"/>
          </w:tcPr>
          <w:p w14:paraId="513D1CEB" w14:textId="576D3979"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Aperiodic</w:t>
            </w:r>
          </w:p>
        </w:tc>
        <w:tc>
          <w:tcPr>
            <w:tcW w:w="1372" w:type="dxa"/>
          </w:tcPr>
          <w:p w14:paraId="308B557D" w14:textId="1442B2D2"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2x2 High</w:t>
            </w:r>
          </w:p>
        </w:tc>
        <w:tc>
          <w:tcPr>
            <w:tcW w:w="1316" w:type="dxa"/>
          </w:tcPr>
          <w:p w14:paraId="6C5B6863" w14:textId="5DD2F04A" w:rsidR="00092806" w:rsidRDefault="00092806" w:rsidP="0009280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w:t>
            </w:r>
          </w:p>
        </w:tc>
      </w:tr>
    </w:tbl>
    <w:p w14:paraId="7942DE7E" w14:textId="47CA2571" w:rsidR="00BE24E4" w:rsidRDefault="00BE24E4" w:rsidP="00BE24E4">
      <w:pPr>
        <w:rPr>
          <w:lang w:eastAsia="ja-JP" w:bidi="hi-IN"/>
        </w:rPr>
      </w:pPr>
    </w:p>
    <w:p w14:paraId="310B2F07" w14:textId="0549616A" w:rsidR="00C820C3" w:rsidRDefault="00C820C3" w:rsidP="00BE24E4">
      <w:pPr>
        <w:rPr>
          <w:lang w:eastAsia="ja-JP" w:bidi="hi-IN"/>
        </w:rPr>
      </w:pPr>
      <w:r>
        <w:rPr>
          <w:lang w:eastAsia="ja-JP" w:bidi="hi-IN"/>
        </w:rPr>
        <w:lastRenderedPageBreak/>
        <w:t xml:space="preserve">Conducted performance requirements for RI reporting were defined with periodic CSI-RS resource type and reporting configuration. Same time radiated requirements </w:t>
      </w:r>
      <w:r w:rsidR="00855774">
        <w:rPr>
          <w:lang w:eastAsia="ja-JP" w:bidi="hi-IN"/>
        </w:rPr>
        <w:t xml:space="preserve">were defined with aperiodic configurations. </w:t>
      </w:r>
      <w:r w:rsidR="004E4D2B">
        <w:rPr>
          <w:lang w:eastAsia="ja-JP" w:bidi="hi-IN"/>
        </w:rPr>
        <w:t>Similar approach as is suggested for PMI reporting requirements can be adopted for RI reporting test case: change configurations to periodic case.</w:t>
      </w:r>
    </w:p>
    <w:p w14:paraId="17FFAAC1" w14:textId="2E15307B" w:rsidR="004E4D2B" w:rsidRPr="005534AE" w:rsidRDefault="004E4D2B" w:rsidP="004E4D2B">
      <w:pPr>
        <w:tabs>
          <w:tab w:val="left" w:pos="1276"/>
        </w:tabs>
        <w:ind w:left="1276" w:hanging="1276"/>
        <w:rPr>
          <w:b/>
        </w:rPr>
      </w:pPr>
      <w:r w:rsidRPr="005534AE">
        <w:rPr>
          <w:b/>
        </w:rPr>
        <w:t>Proposal #</w:t>
      </w:r>
      <w:r w:rsidR="006E1592">
        <w:rPr>
          <w:b/>
        </w:rPr>
        <w:t>1</w:t>
      </w:r>
      <w:r w:rsidR="003823DF">
        <w:rPr>
          <w:b/>
        </w:rPr>
        <w:t>3</w:t>
      </w:r>
      <w:r w:rsidRPr="005534AE">
        <w:rPr>
          <w:b/>
        </w:rPr>
        <w:t xml:space="preserve">: </w:t>
      </w:r>
      <w:r w:rsidRPr="005534AE">
        <w:rPr>
          <w:b/>
        </w:rPr>
        <w:tab/>
      </w:r>
      <w:r>
        <w:rPr>
          <w:b/>
        </w:rPr>
        <w:t>Reuse all RI reporting test cases which were defined for TDD duplex mode for 4 Rx conducted and 2 Rx radiated requirements but change report configuration and CSI-RS resource type from aperiodic to periodic.</w:t>
      </w:r>
    </w:p>
    <w:p w14:paraId="2AFFFE42" w14:textId="77777777" w:rsidR="00B949F6" w:rsidRDefault="00B949F6" w:rsidP="007D7D2C">
      <w:pPr>
        <w:widowControl w:val="0"/>
        <w:rPr>
          <w:b/>
          <w:bCs/>
          <w:u w:val="single"/>
        </w:rPr>
      </w:pPr>
    </w:p>
    <w:p w14:paraId="53BEFFB0" w14:textId="7B2D9F8A" w:rsidR="007D7D2C" w:rsidRDefault="007D7D2C" w:rsidP="007D7D2C">
      <w:pPr>
        <w:widowControl w:val="0"/>
        <w:rPr>
          <w:b/>
          <w:bCs/>
          <w:u w:val="single"/>
        </w:rPr>
      </w:pPr>
      <w:r w:rsidRPr="000550ED">
        <w:rPr>
          <w:b/>
          <w:bCs/>
          <w:u w:val="single"/>
        </w:rPr>
        <w:t>Test parameter simplification</w:t>
      </w:r>
    </w:p>
    <w:tbl>
      <w:tblPr>
        <w:tblStyle w:val="TableGrid"/>
        <w:tblW w:w="0" w:type="auto"/>
        <w:tblLook w:val="04A0" w:firstRow="1" w:lastRow="0" w:firstColumn="1" w:lastColumn="0" w:noHBand="0" w:noVBand="1"/>
      </w:tblPr>
      <w:tblGrid>
        <w:gridCol w:w="9629"/>
      </w:tblGrid>
      <w:tr w:rsidR="00B949F6" w14:paraId="39322D7D" w14:textId="77777777" w:rsidTr="00DF0DD2">
        <w:tc>
          <w:tcPr>
            <w:tcW w:w="9629" w:type="dxa"/>
          </w:tcPr>
          <w:p w14:paraId="56702F41" w14:textId="623CF83C" w:rsidR="00B949F6" w:rsidRPr="00D87436" w:rsidRDefault="00B949F6" w:rsidP="00DF0DD2">
            <w:pPr>
              <w:pStyle w:val="ListParagraph"/>
              <w:widowControl w:val="0"/>
              <w:numPr>
                <w:ilvl w:val="0"/>
                <w:numId w:val="23"/>
              </w:numPr>
              <w:rPr>
                <w:rFonts w:ascii="Times New Roman" w:hAnsi="Times New Roman"/>
                <w:i/>
                <w:iCs/>
                <w:sz w:val="20"/>
                <w:szCs w:val="20"/>
              </w:rPr>
            </w:pPr>
            <w:r w:rsidRPr="00B949F6">
              <w:rPr>
                <w:rFonts w:ascii="Times New Roman" w:hAnsi="Times New Roman"/>
                <w:i/>
                <w:iCs/>
                <w:sz w:val="20"/>
                <w:szCs w:val="20"/>
              </w:rPr>
              <w:t>Test parameters specification simplification</w:t>
            </w:r>
            <w:r>
              <w:rPr>
                <w:rFonts w:ascii="Times New Roman" w:hAnsi="Times New Roman"/>
                <w:i/>
                <w:iCs/>
                <w:sz w:val="20"/>
                <w:szCs w:val="20"/>
              </w:rPr>
              <w:t>:</w:t>
            </w:r>
          </w:p>
          <w:p w14:paraId="46A114EC" w14:textId="77777777" w:rsidR="00B949F6" w:rsidRPr="00B949F6" w:rsidRDefault="00B949F6" w:rsidP="00B949F6">
            <w:pPr>
              <w:pStyle w:val="ListParagraph"/>
              <w:widowControl w:val="0"/>
              <w:numPr>
                <w:ilvl w:val="1"/>
                <w:numId w:val="23"/>
              </w:numPr>
              <w:rPr>
                <w:rFonts w:ascii="Times New Roman" w:hAnsi="Times New Roman"/>
                <w:i/>
                <w:iCs/>
                <w:sz w:val="20"/>
                <w:szCs w:val="20"/>
              </w:rPr>
            </w:pPr>
            <w:r w:rsidRPr="00B949F6">
              <w:rPr>
                <w:rFonts w:ascii="Times New Roman" w:hAnsi="Times New Roman"/>
                <w:i/>
                <w:iCs/>
                <w:sz w:val="20"/>
                <w:szCs w:val="20"/>
              </w:rPr>
              <w:t>Option 1: Remove the following parameters from CSI reporting requirements and leave them up to implementation: PDCCH configuration, CSI-RS for tracking, ZP CSI-RS.</w:t>
            </w:r>
          </w:p>
          <w:p w14:paraId="0FCCA713" w14:textId="2CAC89A9" w:rsidR="00B949F6" w:rsidRPr="004656B6" w:rsidRDefault="00B949F6" w:rsidP="00B949F6">
            <w:pPr>
              <w:pStyle w:val="ListParagraph"/>
              <w:widowControl w:val="0"/>
              <w:numPr>
                <w:ilvl w:val="1"/>
                <w:numId w:val="23"/>
              </w:numPr>
              <w:rPr>
                <w:rFonts w:ascii="Times New Roman" w:hAnsi="Times New Roman"/>
                <w:i/>
                <w:iCs/>
                <w:sz w:val="20"/>
                <w:szCs w:val="20"/>
              </w:rPr>
            </w:pPr>
            <w:r w:rsidRPr="00B949F6">
              <w:rPr>
                <w:rFonts w:ascii="Times New Roman" w:eastAsia="SimSun" w:hAnsi="Times New Roman"/>
                <w:i/>
                <w:iCs/>
                <w:sz w:val="20"/>
                <w:szCs w:val="20"/>
                <w:lang w:val="en-GB"/>
              </w:rPr>
              <w:t>Option 2: Do not remove the following parameters from CSI reporting requirements and leave them up to implementation: PDCCH configuration, CSI-RS for tracking, ZP CSI-RS.</w:t>
            </w:r>
            <w:r w:rsidRPr="00B949F6">
              <w:rPr>
                <w:rFonts w:ascii="Times New Roman" w:eastAsia="SimSun" w:hAnsi="Times New Roman"/>
                <w:i/>
                <w:iCs/>
                <w:sz w:val="20"/>
                <w:szCs w:val="20"/>
                <w:lang w:val="en-GB"/>
              </w:rPr>
              <w:br/>
              <w:t>It cannot be left to implementation, as the MT will not configure this link</w:t>
            </w:r>
            <w:r w:rsidRPr="004656B6">
              <w:rPr>
                <w:rFonts w:ascii="Times New Roman" w:eastAsia="SimSun" w:hAnsi="Times New Roman"/>
                <w:i/>
                <w:iCs/>
                <w:sz w:val="20"/>
                <w:szCs w:val="20"/>
                <w:lang w:val="en-GB"/>
              </w:rPr>
              <w:t>.</w:t>
            </w:r>
          </w:p>
        </w:tc>
      </w:tr>
    </w:tbl>
    <w:p w14:paraId="204E6294" w14:textId="35315835" w:rsidR="00B949F6" w:rsidRPr="004E4D2B" w:rsidRDefault="004E4D2B" w:rsidP="007D7D2C">
      <w:pPr>
        <w:widowControl w:val="0"/>
        <w:rPr>
          <w:lang w:eastAsia="ja-JP" w:bidi="hi-IN"/>
        </w:rPr>
      </w:pPr>
      <w:r>
        <w:rPr>
          <w:lang w:eastAsia="ja-JP" w:bidi="hi-IN"/>
        </w:rPr>
        <w:t xml:space="preserve">We do not see any benefits to remove </w:t>
      </w:r>
      <w:r w:rsidRPr="004E4D2B">
        <w:rPr>
          <w:lang w:eastAsia="ja-JP" w:bidi="hi-IN"/>
        </w:rPr>
        <w:t>PDCCH, CSI-RS for tracking, ZP CSI-RS</w:t>
      </w:r>
      <w:r>
        <w:rPr>
          <w:lang w:eastAsia="ja-JP" w:bidi="hi-IN"/>
        </w:rPr>
        <w:t xml:space="preserve"> </w:t>
      </w:r>
      <w:r w:rsidRPr="004E4D2B">
        <w:rPr>
          <w:lang w:eastAsia="ja-JP" w:bidi="hi-IN"/>
        </w:rPr>
        <w:t>configuration</w:t>
      </w:r>
      <w:r>
        <w:rPr>
          <w:lang w:eastAsia="ja-JP" w:bidi="hi-IN"/>
        </w:rPr>
        <w:t xml:space="preserve"> from CSI requirements. It is mandatory to support these configurations for IAB-MT node. Besides that, IAB-MT </w:t>
      </w:r>
      <w:r w:rsidR="003823DF">
        <w:rPr>
          <w:lang w:eastAsia="ja-JP" w:bidi="hi-IN"/>
        </w:rPr>
        <w:t>does not</w:t>
      </w:r>
      <w:r>
        <w:rPr>
          <w:lang w:eastAsia="ja-JP" w:bidi="hi-IN"/>
        </w:rPr>
        <w:t xml:space="preserve"> configure backhaul link, hence it is more straightforward to not make these parameters up to implementation.</w:t>
      </w:r>
    </w:p>
    <w:p w14:paraId="43755877" w14:textId="0086F262" w:rsidR="007D7D2C" w:rsidRPr="003823DF" w:rsidRDefault="004E4D2B" w:rsidP="003823DF">
      <w:pPr>
        <w:tabs>
          <w:tab w:val="left" w:pos="1276"/>
        </w:tabs>
        <w:ind w:left="1276" w:hanging="1276"/>
        <w:rPr>
          <w:b/>
        </w:rPr>
      </w:pPr>
      <w:r w:rsidRPr="005534AE">
        <w:rPr>
          <w:b/>
        </w:rPr>
        <w:t>Proposal #</w:t>
      </w:r>
      <w:r w:rsidR="006E1592">
        <w:rPr>
          <w:b/>
        </w:rPr>
        <w:t>1</w:t>
      </w:r>
      <w:r w:rsidR="003823DF">
        <w:rPr>
          <w:b/>
        </w:rPr>
        <w:t>4</w:t>
      </w:r>
      <w:r w:rsidRPr="005534AE">
        <w:rPr>
          <w:b/>
        </w:rPr>
        <w:t xml:space="preserve">: </w:t>
      </w:r>
      <w:r w:rsidRPr="005534AE">
        <w:rPr>
          <w:b/>
        </w:rPr>
        <w:tab/>
      </w:r>
      <w:r w:rsidRPr="004E4D2B">
        <w:rPr>
          <w:b/>
        </w:rPr>
        <w:t>Do not remove the following parameters from CSI reporting requirements and leave them up to implementation: PDCCH configuration, CSI-RS for tracking, ZP CSI-RS</w:t>
      </w:r>
      <w:r>
        <w:rPr>
          <w:b/>
        </w:rPr>
        <w:t>.</w:t>
      </w:r>
    </w:p>
    <w:p w14:paraId="7D45A7C8" w14:textId="77777777" w:rsidR="000D4B18" w:rsidRPr="00146B4F" w:rsidRDefault="000D4B18" w:rsidP="00422531">
      <w:pPr>
        <w:pStyle w:val="Heading1"/>
      </w:pPr>
      <w:r w:rsidRPr="00146B4F">
        <w:t>Conclusion</w:t>
      </w:r>
    </w:p>
    <w:p w14:paraId="7442AFB2" w14:textId="35DD4AFD" w:rsidR="00131E05" w:rsidRDefault="00DC2D0E" w:rsidP="007C0360">
      <w:pPr>
        <w:tabs>
          <w:tab w:val="left" w:pos="709"/>
        </w:tabs>
        <w:spacing w:before="60" w:after="60"/>
      </w:pPr>
      <w:r w:rsidRPr="000550ED">
        <w:t xml:space="preserve">In this </w:t>
      </w:r>
      <w:r w:rsidR="00F42C0A" w:rsidRPr="000550ED">
        <w:t>contribution</w:t>
      </w:r>
      <w:r w:rsidRPr="000550ED">
        <w:t xml:space="preserve"> </w:t>
      </w:r>
      <w:r w:rsidR="00F42C0A" w:rsidRPr="000550ED">
        <w:t>we prov</w:t>
      </w:r>
      <w:r w:rsidR="005A0FAA" w:rsidRPr="000550ED">
        <w:t>ide</w:t>
      </w:r>
      <w:r w:rsidR="00F42C0A" w:rsidRPr="000550ED">
        <w:t xml:space="preserve"> our view</w:t>
      </w:r>
      <w:r w:rsidR="00BE109D" w:rsidRPr="000550ED">
        <w:t>s</w:t>
      </w:r>
      <w:r w:rsidR="00F42C0A" w:rsidRPr="000550ED">
        <w:t xml:space="preserve"> </w:t>
      </w:r>
      <w:r w:rsidR="005A0FAA" w:rsidRPr="000550ED">
        <w:t xml:space="preserve">on </w:t>
      </w:r>
      <w:r w:rsidR="00B802F3" w:rsidRPr="000550ED">
        <w:t>IAB-</w:t>
      </w:r>
      <w:r w:rsidR="000550ED" w:rsidRPr="000550ED">
        <w:t>MT</w:t>
      </w:r>
      <w:r w:rsidR="00B802F3" w:rsidRPr="000550ED">
        <w:t xml:space="preserve"> performance requirements</w:t>
      </w:r>
      <w:r w:rsidR="005A0FAA" w:rsidRPr="000550ED">
        <w:t>. In summary, we make the following proposals:</w:t>
      </w:r>
    </w:p>
    <w:p w14:paraId="6230537C" w14:textId="77777777" w:rsidR="003823DF" w:rsidRPr="00DF0DD2" w:rsidRDefault="003823DF" w:rsidP="003823DF">
      <w:pPr>
        <w:pStyle w:val="Proposal1"/>
      </w:pPr>
      <w:r w:rsidRPr="001F63CF">
        <w:t xml:space="preserve">Proposal #1: </w:t>
      </w:r>
      <w:r w:rsidRPr="001F63CF">
        <w:tab/>
      </w:r>
      <w:r>
        <w:t>16QAM shall be tested for IAB-MT.</w:t>
      </w:r>
    </w:p>
    <w:p w14:paraId="05928CCD" w14:textId="6090E87C" w:rsidR="003823DF" w:rsidRDefault="003823DF" w:rsidP="003823DF">
      <w:pPr>
        <w:pStyle w:val="Proposal1"/>
      </w:pPr>
      <w:r w:rsidRPr="002834CC">
        <w:t xml:space="preserve">Proposal #2: </w:t>
      </w:r>
      <w:r w:rsidRPr="002834CC">
        <w:tab/>
        <w:t>Reuse UE FR1 256QAM performance requirements for IAB-MT. Further discuss 256QAM requirements for FR2 after completion of Rel-16 UE FR2 256QAM requirements definition</w:t>
      </w:r>
      <w:r>
        <w:t>.</w:t>
      </w:r>
    </w:p>
    <w:p w14:paraId="16C7D453" w14:textId="77777777" w:rsidR="003823DF" w:rsidRDefault="003823DF" w:rsidP="003823DF">
      <w:pPr>
        <w:pStyle w:val="Proposal1"/>
      </w:pPr>
      <w:r w:rsidRPr="001F63CF">
        <w:t>Proposal #</w:t>
      </w:r>
      <w:r>
        <w:t>3</w:t>
      </w:r>
      <w:r w:rsidRPr="001F63CF">
        <w:t xml:space="preserve"> </w:t>
      </w:r>
      <w:r w:rsidRPr="001F63CF">
        <w:tab/>
      </w:r>
      <w:r w:rsidRPr="00D64B35">
        <w:t>Include requirements for mapping type A and B</w:t>
      </w:r>
      <w:r>
        <w:t xml:space="preserve"> without applicability rules.</w:t>
      </w:r>
    </w:p>
    <w:p w14:paraId="449480A7" w14:textId="77777777" w:rsidR="003823DF" w:rsidRDefault="003823DF" w:rsidP="003823DF">
      <w:pPr>
        <w:pStyle w:val="Proposal1"/>
      </w:pPr>
      <w:r w:rsidRPr="001F63CF">
        <w:t>Proposal #</w:t>
      </w:r>
      <w:r>
        <w:t>4</w:t>
      </w:r>
      <w:r w:rsidRPr="001F63CF">
        <w:t xml:space="preserve">: </w:t>
      </w:r>
      <w:r w:rsidRPr="001F63CF">
        <w:tab/>
      </w:r>
      <w:r>
        <w:t>Only keep requirements with wideband PRB bundling size and PRB bundling size 2.</w:t>
      </w:r>
    </w:p>
    <w:p w14:paraId="11975446" w14:textId="77777777" w:rsidR="003823DF" w:rsidRDefault="003823DF" w:rsidP="003823DF">
      <w:pPr>
        <w:pStyle w:val="Proposal1"/>
      </w:pPr>
      <w:r w:rsidRPr="001F63CF">
        <w:t>Proposal #</w:t>
      </w:r>
      <w:r>
        <w:t>5</w:t>
      </w:r>
      <w:r w:rsidRPr="001F63CF">
        <w:t xml:space="preserve">: </w:t>
      </w:r>
      <w:r w:rsidRPr="001F63CF">
        <w:tab/>
      </w:r>
      <w:r w:rsidRPr="00823088">
        <w:t>Include requirements for enhanced receiver Type 1 but allow to declare support</w:t>
      </w:r>
      <w:r>
        <w:t xml:space="preserve"> of it.</w:t>
      </w:r>
    </w:p>
    <w:p w14:paraId="1934D296" w14:textId="77777777" w:rsidR="003823DF" w:rsidRDefault="003823DF" w:rsidP="003823DF">
      <w:pPr>
        <w:pStyle w:val="Proposal1"/>
      </w:pPr>
      <w:r w:rsidRPr="001F63CF">
        <w:t>Proposal #</w:t>
      </w:r>
      <w:r>
        <w:t>6</w:t>
      </w:r>
      <w:r w:rsidRPr="001F63CF">
        <w:t xml:space="preserve">: </w:t>
      </w:r>
      <w:r w:rsidRPr="001F63CF">
        <w:tab/>
      </w:r>
      <w:r w:rsidRPr="00D64B35">
        <w:t>Skip PDSCH cases for CSI-RS overlapped with PDSCH</w:t>
      </w:r>
      <w:r>
        <w:t>.</w:t>
      </w:r>
    </w:p>
    <w:p w14:paraId="2666BF90" w14:textId="77777777" w:rsidR="003823DF" w:rsidRPr="004656B6" w:rsidRDefault="003823DF" w:rsidP="003823DF">
      <w:pPr>
        <w:pStyle w:val="Proposal1"/>
      </w:pPr>
      <w:r w:rsidRPr="001F63CF">
        <w:t>Proposal #</w:t>
      </w:r>
      <w:r>
        <w:t>7</w:t>
      </w:r>
      <w:r w:rsidRPr="001F63CF">
        <w:t xml:space="preserve">: </w:t>
      </w:r>
      <w:r w:rsidRPr="001F63CF">
        <w:tab/>
      </w:r>
      <w:r w:rsidRPr="00BC0637">
        <w:t>Skip PDSCH cases for co-existence with LTE CRS</w:t>
      </w:r>
      <w:r>
        <w:t>.</w:t>
      </w:r>
    </w:p>
    <w:p w14:paraId="118705A9" w14:textId="77777777" w:rsidR="003823DF" w:rsidRPr="005534AE" w:rsidRDefault="003823DF" w:rsidP="003823DF">
      <w:pPr>
        <w:tabs>
          <w:tab w:val="left" w:pos="1276"/>
        </w:tabs>
        <w:ind w:left="1276" w:hanging="1276"/>
        <w:rPr>
          <w:b/>
        </w:rPr>
      </w:pPr>
      <w:r w:rsidRPr="005534AE">
        <w:rPr>
          <w:b/>
        </w:rPr>
        <w:t>Proposal #</w:t>
      </w:r>
      <w:r>
        <w:rPr>
          <w:b/>
        </w:rPr>
        <w:t>8</w:t>
      </w:r>
      <w:r w:rsidRPr="005534AE">
        <w:rPr>
          <w:b/>
        </w:rPr>
        <w:t xml:space="preserve">: </w:t>
      </w:r>
      <w:r w:rsidRPr="005534AE">
        <w:rPr>
          <w:b/>
        </w:rPr>
        <w:tab/>
      </w:r>
      <w:r w:rsidRPr="003F7A4E">
        <w:rPr>
          <w:b/>
        </w:rPr>
        <w:t xml:space="preserve">Include all </w:t>
      </w:r>
      <w:r>
        <w:rPr>
          <w:b/>
        </w:rPr>
        <w:t xml:space="preserve">PDCCH </w:t>
      </w:r>
      <w:r w:rsidRPr="003F7A4E">
        <w:rPr>
          <w:b/>
        </w:rPr>
        <w:t>requirement</w:t>
      </w:r>
      <w:r>
        <w:rPr>
          <w:b/>
        </w:rPr>
        <w:t>s and require IAB-MT to pass all of them.</w:t>
      </w:r>
    </w:p>
    <w:p w14:paraId="48DE5FF6" w14:textId="77777777" w:rsidR="003823DF" w:rsidRPr="005534AE" w:rsidRDefault="003823DF" w:rsidP="003823DF">
      <w:pPr>
        <w:tabs>
          <w:tab w:val="left" w:pos="1276"/>
        </w:tabs>
        <w:ind w:left="1276" w:hanging="1276"/>
        <w:rPr>
          <w:b/>
        </w:rPr>
      </w:pPr>
      <w:r w:rsidRPr="005534AE">
        <w:rPr>
          <w:b/>
        </w:rPr>
        <w:t>Proposal #</w:t>
      </w:r>
      <w:r>
        <w:rPr>
          <w:b/>
        </w:rPr>
        <w:t>9</w:t>
      </w:r>
      <w:r w:rsidRPr="005534AE">
        <w:rPr>
          <w:b/>
        </w:rPr>
        <w:t xml:space="preserve">: </w:t>
      </w:r>
      <w:r w:rsidRPr="005534AE">
        <w:rPr>
          <w:b/>
        </w:rPr>
        <w:tab/>
      </w:r>
      <w:r w:rsidRPr="003F7A4E">
        <w:rPr>
          <w:b/>
        </w:rPr>
        <w:t xml:space="preserve">Keep the CSI-RS for tracking parameters </w:t>
      </w:r>
      <w:r>
        <w:rPr>
          <w:b/>
        </w:rPr>
        <w:t xml:space="preserve">for IAB-MT node PDCCH test cases </w:t>
      </w:r>
      <w:r w:rsidRPr="003F7A4E">
        <w:rPr>
          <w:b/>
        </w:rPr>
        <w:t xml:space="preserve">from the UE PDCCH </w:t>
      </w:r>
      <w:r>
        <w:rPr>
          <w:b/>
        </w:rPr>
        <w:t xml:space="preserve">performance </w:t>
      </w:r>
      <w:r w:rsidRPr="003F7A4E">
        <w:rPr>
          <w:b/>
        </w:rPr>
        <w:t>requirements</w:t>
      </w:r>
      <w:r>
        <w:rPr>
          <w:b/>
        </w:rPr>
        <w:t>.</w:t>
      </w:r>
    </w:p>
    <w:p w14:paraId="20409DFB" w14:textId="77777777" w:rsidR="003823DF" w:rsidRPr="005534AE" w:rsidRDefault="003823DF" w:rsidP="003823DF">
      <w:pPr>
        <w:tabs>
          <w:tab w:val="left" w:pos="1276"/>
        </w:tabs>
        <w:ind w:left="1276" w:hanging="1276"/>
        <w:rPr>
          <w:b/>
        </w:rPr>
      </w:pPr>
      <w:r w:rsidRPr="005534AE">
        <w:rPr>
          <w:b/>
        </w:rPr>
        <w:t>Proposal #</w:t>
      </w:r>
      <w:r>
        <w:rPr>
          <w:b/>
        </w:rPr>
        <w:t>10</w:t>
      </w:r>
      <w:r w:rsidRPr="005534AE">
        <w:rPr>
          <w:b/>
        </w:rPr>
        <w:t xml:space="preserve">: </w:t>
      </w:r>
      <w:r w:rsidRPr="005534AE">
        <w:rPr>
          <w:b/>
        </w:rPr>
        <w:tab/>
      </w:r>
      <w:r>
        <w:rPr>
          <w:b/>
        </w:rPr>
        <w:t>Reuse UE PBCH requirements for IAB-MT node.</w:t>
      </w:r>
    </w:p>
    <w:p w14:paraId="20DCD872" w14:textId="77777777" w:rsidR="003823DF" w:rsidRPr="005534AE" w:rsidRDefault="003823DF" w:rsidP="003823DF">
      <w:pPr>
        <w:tabs>
          <w:tab w:val="left" w:pos="1276"/>
        </w:tabs>
        <w:ind w:left="1276" w:hanging="1276"/>
        <w:rPr>
          <w:b/>
        </w:rPr>
      </w:pPr>
      <w:r w:rsidRPr="005534AE">
        <w:rPr>
          <w:b/>
        </w:rPr>
        <w:t>Proposal #</w:t>
      </w:r>
      <w:r>
        <w:rPr>
          <w:b/>
        </w:rPr>
        <w:t>11</w:t>
      </w:r>
      <w:r w:rsidRPr="005534AE">
        <w:rPr>
          <w:b/>
        </w:rPr>
        <w:t xml:space="preserve">: </w:t>
      </w:r>
      <w:r w:rsidRPr="005534AE">
        <w:rPr>
          <w:b/>
        </w:rPr>
        <w:tab/>
      </w:r>
      <w:r>
        <w:rPr>
          <w:b/>
        </w:rPr>
        <w:t>Reuse all CQI reporting test cases which were defined for TDD duplex mode for 4 Rx conducted and 2 Rx radiated requirements except conducted test case with sub-band CQI reporting granularity.</w:t>
      </w:r>
    </w:p>
    <w:p w14:paraId="61E4789E" w14:textId="77777777" w:rsidR="003823DF" w:rsidRPr="005534AE" w:rsidRDefault="003823DF" w:rsidP="003823DF">
      <w:pPr>
        <w:tabs>
          <w:tab w:val="left" w:pos="1276"/>
        </w:tabs>
        <w:ind w:left="1276" w:hanging="1276"/>
        <w:rPr>
          <w:b/>
        </w:rPr>
      </w:pPr>
      <w:r w:rsidRPr="005534AE">
        <w:rPr>
          <w:b/>
        </w:rPr>
        <w:t>Proposal #</w:t>
      </w:r>
      <w:r>
        <w:rPr>
          <w:b/>
        </w:rPr>
        <w:t>12</w:t>
      </w:r>
      <w:r w:rsidRPr="005534AE">
        <w:rPr>
          <w:b/>
        </w:rPr>
        <w:t xml:space="preserve">: </w:t>
      </w:r>
      <w:r w:rsidRPr="005534AE">
        <w:rPr>
          <w:b/>
        </w:rPr>
        <w:tab/>
      </w:r>
      <w:r>
        <w:rPr>
          <w:b/>
        </w:rPr>
        <w:t>Reuse all PMI reporting test cases which were defined for TDD duplex mode for 4 Rx conducted and 2 Rx radiated requirements but change report configuration and CSI-RS resource type from aperiodic to periodic.</w:t>
      </w:r>
    </w:p>
    <w:p w14:paraId="78C60622" w14:textId="77777777" w:rsidR="003823DF" w:rsidRPr="005534AE" w:rsidRDefault="003823DF" w:rsidP="003823DF">
      <w:pPr>
        <w:tabs>
          <w:tab w:val="left" w:pos="1276"/>
        </w:tabs>
        <w:ind w:left="1276" w:hanging="1276"/>
        <w:rPr>
          <w:b/>
        </w:rPr>
      </w:pPr>
      <w:r w:rsidRPr="005534AE">
        <w:rPr>
          <w:b/>
        </w:rPr>
        <w:t>Proposal #</w:t>
      </w:r>
      <w:r>
        <w:rPr>
          <w:b/>
        </w:rPr>
        <w:t>13</w:t>
      </w:r>
      <w:r w:rsidRPr="005534AE">
        <w:rPr>
          <w:b/>
        </w:rPr>
        <w:t xml:space="preserve">: </w:t>
      </w:r>
      <w:r w:rsidRPr="005534AE">
        <w:rPr>
          <w:b/>
        </w:rPr>
        <w:tab/>
      </w:r>
      <w:r>
        <w:rPr>
          <w:b/>
        </w:rPr>
        <w:t>Reuse all RI reporting test cases which were defined for TDD duplex mode for 4 Rx conducted and 2 Rx radiated requirements but change report configuration and CSI-RS resource type from aperiodic to periodic.</w:t>
      </w:r>
    </w:p>
    <w:p w14:paraId="4111AD10" w14:textId="77777777" w:rsidR="003823DF" w:rsidRPr="003823DF" w:rsidRDefault="003823DF" w:rsidP="003823DF">
      <w:pPr>
        <w:tabs>
          <w:tab w:val="left" w:pos="1276"/>
        </w:tabs>
        <w:ind w:left="1276" w:hanging="1276"/>
        <w:rPr>
          <w:b/>
        </w:rPr>
      </w:pPr>
      <w:r w:rsidRPr="005534AE">
        <w:rPr>
          <w:b/>
        </w:rPr>
        <w:t>Proposal #</w:t>
      </w:r>
      <w:r>
        <w:rPr>
          <w:b/>
        </w:rPr>
        <w:t>14</w:t>
      </w:r>
      <w:r w:rsidRPr="005534AE">
        <w:rPr>
          <w:b/>
        </w:rPr>
        <w:t xml:space="preserve">: </w:t>
      </w:r>
      <w:r w:rsidRPr="005534AE">
        <w:rPr>
          <w:b/>
        </w:rPr>
        <w:tab/>
      </w:r>
      <w:r w:rsidRPr="004E4D2B">
        <w:rPr>
          <w:b/>
        </w:rPr>
        <w:t>Do not remove the following parameters from CSI reporting requirements and leave them up to implementation: PDCCH configuration, CSI-RS for tracking, ZP CSI-RS</w:t>
      </w:r>
      <w:r>
        <w:rPr>
          <w:b/>
        </w:rPr>
        <w:t>.</w:t>
      </w:r>
    </w:p>
    <w:p w14:paraId="6D013FB3"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03835563" w14:textId="6CA95E2B" w:rsidR="00133B32" w:rsidRPr="00F04BE6" w:rsidRDefault="00F04BE6" w:rsidP="00F04BE6">
      <w:pPr>
        <w:widowControl w:val="0"/>
        <w:numPr>
          <w:ilvl w:val="0"/>
          <w:numId w:val="2"/>
        </w:numPr>
        <w:jc w:val="left"/>
        <w:textAlignment w:val="auto"/>
      </w:pPr>
      <w:bookmarkStart w:id="5" w:name="_Ref21009160"/>
      <w:bookmarkStart w:id="6" w:name="_Ref54386828"/>
      <w:bookmarkStart w:id="7" w:name="_Hlk21019686"/>
      <w:bookmarkStart w:id="8" w:name="_Ref20910096"/>
      <w:r w:rsidRPr="002C6CD4">
        <w:t>R4-2017673 “WF on Rel-16 NR IAB demodulation requirements”, Nokia, Nokia Shanghai Bell, RAN #97e, November 20</w:t>
      </w:r>
      <w:bookmarkEnd w:id="5"/>
      <w:r w:rsidRPr="002C6CD4">
        <w:t>20</w:t>
      </w:r>
      <w:bookmarkEnd w:id="6"/>
      <w:bookmarkEnd w:id="7"/>
      <w:bookmarkEnd w:id="8"/>
    </w:p>
    <w:sectPr w:rsidR="00133B32" w:rsidRPr="00F04BE6"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78EA7" w14:textId="77777777" w:rsidR="009A0C27" w:rsidRDefault="009A0C27">
      <w:r>
        <w:separator/>
      </w:r>
    </w:p>
  </w:endnote>
  <w:endnote w:type="continuationSeparator" w:id="0">
    <w:p w14:paraId="42667CEF" w14:textId="77777777" w:rsidR="009A0C27" w:rsidRDefault="009A0C27">
      <w:r>
        <w:continuationSeparator/>
      </w:r>
    </w:p>
  </w:endnote>
  <w:endnote w:type="continuationNotice" w:id="1">
    <w:p w14:paraId="04A90E38" w14:textId="77777777" w:rsidR="009A0C27" w:rsidRDefault="009A0C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DF0DD2" w:rsidRDefault="00DF0D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DF0DD2" w:rsidRDefault="00DF0D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DF0DD2" w:rsidRPr="00DB1239" w:rsidRDefault="00DF0DD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BABA" w14:textId="77777777" w:rsidR="00DF0DD2" w:rsidRDefault="00DF0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45E05" w14:textId="77777777" w:rsidR="009A0C27" w:rsidRDefault="009A0C27">
      <w:r>
        <w:separator/>
      </w:r>
    </w:p>
  </w:footnote>
  <w:footnote w:type="continuationSeparator" w:id="0">
    <w:p w14:paraId="5715E588" w14:textId="77777777" w:rsidR="009A0C27" w:rsidRDefault="009A0C27">
      <w:r>
        <w:continuationSeparator/>
      </w:r>
    </w:p>
  </w:footnote>
  <w:footnote w:type="continuationNotice" w:id="1">
    <w:p w14:paraId="492CAA11" w14:textId="77777777" w:rsidR="009A0C27" w:rsidRDefault="009A0C2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DF0DD2" w:rsidRDefault="00DF0DD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CD2C" w14:textId="77777777" w:rsidR="00DF0DD2" w:rsidRDefault="00DF0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B7F1" w14:textId="77777777" w:rsidR="00DF0DD2" w:rsidRDefault="00DF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032F2"/>
    <w:multiLevelType w:val="hybridMultilevel"/>
    <w:tmpl w:val="7832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3"/>
  </w:num>
  <w:num w:numId="6">
    <w:abstractNumId w:val="6"/>
  </w:num>
  <w:num w:numId="7">
    <w:abstractNumId w:val="22"/>
  </w:num>
  <w:num w:numId="8">
    <w:abstractNumId w:val="9"/>
  </w:num>
  <w:num w:numId="9">
    <w:abstractNumId w:val="15"/>
  </w:num>
  <w:num w:numId="10">
    <w:abstractNumId w:val="20"/>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1"/>
  </w:num>
  <w:num w:numId="19">
    <w:abstractNumId w:val="19"/>
  </w:num>
  <w:num w:numId="20">
    <w:abstractNumId w:val="7"/>
  </w:num>
  <w:num w:numId="21">
    <w:abstractNumId w:val="16"/>
  </w:num>
  <w:num w:numId="22">
    <w:abstractNumId w:val="5"/>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E3F"/>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0ED"/>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806"/>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584"/>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19C"/>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D2B"/>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2C1"/>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4CC"/>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2C"/>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4FF2"/>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767"/>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894"/>
    <w:rsid w:val="003517CA"/>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85"/>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3DF"/>
    <w:rsid w:val="0038245B"/>
    <w:rsid w:val="003827B3"/>
    <w:rsid w:val="00382903"/>
    <w:rsid w:val="00383483"/>
    <w:rsid w:val="003838C5"/>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153"/>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3EDF"/>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A4E"/>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28A"/>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143"/>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6B6"/>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4D2B"/>
    <w:rsid w:val="004E5181"/>
    <w:rsid w:val="004E53AE"/>
    <w:rsid w:val="004E5449"/>
    <w:rsid w:val="004E5979"/>
    <w:rsid w:val="004E5C61"/>
    <w:rsid w:val="004E6158"/>
    <w:rsid w:val="004E6184"/>
    <w:rsid w:val="004E61C0"/>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57"/>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3FB9"/>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B7D"/>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01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759"/>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1E5"/>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55B"/>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592"/>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2F50"/>
    <w:rsid w:val="006F3052"/>
    <w:rsid w:val="006F314D"/>
    <w:rsid w:val="006F35A8"/>
    <w:rsid w:val="006F3738"/>
    <w:rsid w:val="006F3B01"/>
    <w:rsid w:val="006F3BDF"/>
    <w:rsid w:val="006F3EC6"/>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312"/>
    <w:rsid w:val="00714526"/>
    <w:rsid w:val="00714722"/>
    <w:rsid w:val="00714A2D"/>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8E2"/>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68"/>
    <w:rsid w:val="00780593"/>
    <w:rsid w:val="00780657"/>
    <w:rsid w:val="0078092F"/>
    <w:rsid w:val="00780980"/>
    <w:rsid w:val="007809E1"/>
    <w:rsid w:val="00780C26"/>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B0"/>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D2C"/>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1F78"/>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13"/>
    <w:rsid w:val="00817D2A"/>
    <w:rsid w:val="00817F27"/>
    <w:rsid w:val="00820DF1"/>
    <w:rsid w:val="0082172C"/>
    <w:rsid w:val="00821992"/>
    <w:rsid w:val="00821D8A"/>
    <w:rsid w:val="0082266A"/>
    <w:rsid w:val="00823088"/>
    <w:rsid w:val="00823335"/>
    <w:rsid w:val="00823571"/>
    <w:rsid w:val="008237B2"/>
    <w:rsid w:val="00823C2D"/>
    <w:rsid w:val="00823F61"/>
    <w:rsid w:val="0082449E"/>
    <w:rsid w:val="008249FF"/>
    <w:rsid w:val="00824A6F"/>
    <w:rsid w:val="008251EC"/>
    <w:rsid w:val="0082540D"/>
    <w:rsid w:val="008256DA"/>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5774"/>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4BD8"/>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4EE0"/>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C27"/>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182"/>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4E0"/>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291"/>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F77"/>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49F6"/>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637"/>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4E4"/>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514"/>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67FA0"/>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0C3"/>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71D"/>
    <w:rsid w:val="00C93B27"/>
    <w:rsid w:val="00C93D37"/>
    <w:rsid w:val="00C940E6"/>
    <w:rsid w:val="00C94508"/>
    <w:rsid w:val="00C9454F"/>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367"/>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B35"/>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53"/>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932"/>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436"/>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A6D"/>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31E"/>
    <w:rsid w:val="00DF0D33"/>
    <w:rsid w:val="00DF0DD2"/>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176"/>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0FD"/>
    <w:rsid w:val="00E67883"/>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730"/>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0F2F"/>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BE6"/>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3B4E"/>
    <w:rsid w:val="00F1403E"/>
    <w:rsid w:val="00F1415B"/>
    <w:rsid w:val="00F1476B"/>
    <w:rsid w:val="00F149F8"/>
    <w:rsid w:val="00F14FB8"/>
    <w:rsid w:val="00F155B5"/>
    <w:rsid w:val="00F1582A"/>
    <w:rsid w:val="00F15860"/>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3D76"/>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E73"/>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EFE"/>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154"/>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9F6"/>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523F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DC889-ED64-4FBA-B204-33D432A94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90341-786A-4C0D-9A77-AB9FC5ACF5C1}">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B428F26-FA2D-448B-8850-4495511C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2598</Words>
  <Characters>14810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10</cp:revision>
  <cp:lastPrinted>2020-02-15T14:56:00Z</cp:lastPrinted>
  <dcterms:created xsi:type="dcterms:W3CDTF">2021-01-15T21:31:00Z</dcterms:created>
  <dcterms:modified xsi:type="dcterms:W3CDTF">2021-01-15T23:33:00Z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